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FAE0" w14:textId="38245F28" w:rsidR="0087558F" w:rsidRPr="000E7695" w:rsidRDefault="00524FF5" w:rsidP="000737C6">
      <w:pPr>
        <w:spacing w:afterLines="50" w:after="180" w:line="520" w:lineRule="exact"/>
        <w:rPr>
          <w:sz w:val="36"/>
          <w:szCs w:val="36"/>
        </w:rPr>
      </w:pPr>
      <w:r w:rsidRPr="000E7695">
        <w:rPr>
          <w:rFonts w:ascii="標楷體" w:eastAsia="標楷體" w:hAnsi="標楷體"/>
          <w:noProof/>
          <w:sz w:val="36"/>
          <w:szCs w:val="36"/>
        </w:rPr>
        <mc:AlternateContent>
          <mc:Choice Requires="wps">
            <w:drawing>
              <wp:anchor distT="45720" distB="45720" distL="114300" distR="114300" simplePos="0" relativeHeight="251661312" behindDoc="0" locked="0" layoutInCell="1" allowOverlap="1" wp14:anchorId="534DF049" wp14:editId="0724F250">
                <wp:simplePos x="0" y="0"/>
                <wp:positionH relativeFrom="margin">
                  <wp:align>left</wp:align>
                </wp:positionH>
                <wp:positionV relativeFrom="topMargin">
                  <wp:align>bottom</wp:align>
                </wp:positionV>
                <wp:extent cx="704850" cy="276225"/>
                <wp:effectExtent l="0" t="0" r="19050" b="28575"/>
                <wp:wrapTopAndBottom/>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76225"/>
                        </a:xfrm>
                        <a:prstGeom prst="rect">
                          <a:avLst/>
                        </a:prstGeom>
                        <a:solidFill>
                          <a:srgbClr val="FFFFFF"/>
                        </a:solidFill>
                        <a:ln w="9525">
                          <a:solidFill>
                            <a:srgbClr val="000000"/>
                          </a:solidFill>
                          <a:miter lim="800000"/>
                          <a:headEnd/>
                          <a:tailEnd/>
                        </a:ln>
                      </wps:spPr>
                      <wps:txbx>
                        <w:txbxContent>
                          <w:p w14:paraId="05715809" w14:textId="116D52A1" w:rsidR="00524FF5" w:rsidRPr="00B4139A" w:rsidRDefault="00524FF5" w:rsidP="00524FF5">
                            <w:pPr>
                              <w:spacing w:line="280" w:lineRule="exact"/>
                              <w:jc w:val="center"/>
                              <w:rPr>
                                <w:rFonts w:ascii="Times New Roman" w:eastAsia="標楷體" w:hAnsi="Times New Roman" w:cs="Times New Roman"/>
                                <w:color w:val="000000" w:themeColor="text1"/>
                                <w:sz w:val="28"/>
                                <w:szCs w:val="28"/>
                              </w:rPr>
                            </w:pPr>
                            <w:r w:rsidRPr="00B4139A">
                              <w:rPr>
                                <w:rFonts w:ascii="Times New Roman" w:eastAsia="標楷體" w:hAnsi="Times New Roman" w:cs="Times New Roman"/>
                                <w:color w:val="000000" w:themeColor="text1"/>
                                <w:sz w:val="28"/>
                                <w:szCs w:val="28"/>
                              </w:rPr>
                              <w:t>附件</w:t>
                            </w:r>
                            <w:r w:rsidR="00751E13">
                              <w:rPr>
                                <w:rFonts w:ascii="Times New Roman" w:eastAsia="標楷體" w:hAnsi="Times New Roman" w:cs="Times New Roman" w:hint="eastAsia"/>
                                <w:color w:val="000000" w:themeColor="text1"/>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4DF049" id="_x0000_t202" coordsize="21600,21600" o:spt="202" path="m,l,21600r21600,l21600,xe">
                <v:stroke joinstyle="miter"/>
                <v:path gradientshapeok="t" o:connecttype="rect"/>
              </v:shapetype>
              <v:shape id="文字方塊 2" o:spid="_x0000_s1026" type="#_x0000_t202" style="position:absolute;margin-left:0;margin-top:0;width:55.5pt;height:21.75pt;z-index:251661312;visibility:visible;mso-wrap-style:square;mso-width-percent:0;mso-height-percent:0;mso-wrap-distance-left:9pt;mso-wrap-distance-top:3.6pt;mso-wrap-distance-right:9pt;mso-wrap-distance-bottom:3.6pt;mso-position-horizontal:lef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">
                <v:textbox>
                  <w:txbxContent>
                    <w:p w14:paraId="05715809" w14:textId="116D52A1" w:rsidR="00524FF5" w:rsidRPr="00B4139A" w:rsidRDefault="00524FF5" w:rsidP="00524FF5">
                      <w:pPr>
                        <w:spacing w:line="280" w:lineRule="exact"/>
                        <w:jc w:val="center"/>
                        <w:rPr>
                          <w:rFonts w:ascii="Times New Roman" w:eastAsia="標楷體" w:hAnsi="Times New Roman" w:cs="Times New Roman" w:hint="eastAsia"/>
                          <w:color w:val="000000" w:themeColor="text1"/>
                          <w:sz w:val="28"/>
                          <w:szCs w:val="28"/>
                        </w:rPr>
                      </w:pPr>
                      <w:r w:rsidRPr="00B4139A">
                        <w:rPr>
                          <w:rFonts w:ascii="Times New Roman" w:eastAsia="標楷體" w:hAnsi="Times New Roman" w:cs="Times New Roman"/>
                          <w:color w:val="000000" w:themeColor="text1"/>
                          <w:sz w:val="28"/>
                          <w:szCs w:val="28"/>
                        </w:rPr>
                        <w:t>附件</w:t>
                      </w:r>
                      <w:r w:rsidR="00751E13">
                        <w:rPr>
                          <w:rFonts w:ascii="Times New Roman" w:eastAsia="標楷體" w:hAnsi="Times New Roman" w:cs="Times New Roman" w:hint="eastAsia"/>
                          <w:color w:val="000000" w:themeColor="text1"/>
                          <w:sz w:val="28"/>
                          <w:szCs w:val="28"/>
                        </w:rPr>
                        <w:t>2</w:t>
                      </w:r>
                    </w:p>
                  </w:txbxContent>
                </v:textbox>
                <w10:wrap type="topAndBottom" anchorx="margin" anchory="margin"/>
              </v:shape>
            </w:pict>
          </mc:Fallback>
        </mc:AlternateContent>
      </w:r>
      <w:r w:rsidR="0087558F" w:rsidRPr="000E7695">
        <w:rPr>
          <w:rFonts w:ascii="標楷體" w:eastAsia="標楷體" w:hAnsi="標楷體" w:cs="Times New Roman"/>
          <w:color w:val="000000" w:themeColor="text1"/>
          <w:sz w:val="36"/>
          <w:szCs w:val="36"/>
          <w:lang w:eastAsia="zh-HK"/>
        </w:rPr>
        <w:t>中華民國證券商業同業公會</w:t>
      </w:r>
      <w:r w:rsidR="0087558F" w:rsidRPr="000E7695">
        <w:rPr>
          <w:rFonts w:ascii="標楷體" w:eastAsia="標楷體" w:hAnsi="標楷體" w:cs="Times New Roman" w:hint="eastAsia"/>
          <w:color w:val="000000" w:themeColor="text1"/>
          <w:sz w:val="36"/>
          <w:szCs w:val="36"/>
          <w:lang w:eastAsia="zh-HK"/>
        </w:rPr>
        <w:t>「</w:t>
      </w:r>
      <w:r w:rsidR="00223E46" w:rsidRPr="000E7695">
        <w:rPr>
          <w:rFonts w:ascii="標楷體" w:eastAsia="標楷體" w:hAnsi="標楷體" w:cs="Times New Roman" w:hint="eastAsia"/>
          <w:color w:val="000000" w:themeColor="text1"/>
          <w:sz w:val="36"/>
          <w:szCs w:val="36"/>
          <w:lang w:eastAsia="zh-HK"/>
        </w:rPr>
        <w:t>證券商辦理競價拍賣配售作業處理程序</w:t>
      </w:r>
      <w:r w:rsidR="0087558F" w:rsidRPr="000E7695">
        <w:rPr>
          <w:rFonts w:ascii="標楷體" w:eastAsia="標楷體" w:hAnsi="標楷體" w:cs="Times New Roman" w:hint="eastAsia"/>
          <w:color w:val="000000" w:themeColor="text1"/>
          <w:sz w:val="36"/>
          <w:szCs w:val="36"/>
          <w:lang w:eastAsia="zh-HK"/>
        </w:rPr>
        <w:t>」</w:t>
      </w:r>
      <w:r w:rsidR="004775FB" w:rsidRPr="000E7695">
        <w:rPr>
          <w:rFonts w:ascii="標楷體" w:eastAsia="標楷體" w:hAnsi="標楷體" w:cs="Times New Roman" w:hint="eastAsia"/>
          <w:color w:val="000000" w:themeColor="text1"/>
          <w:sz w:val="36"/>
          <w:szCs w:val="36"/>
          <w:lang w:eastAsia="zh-HK"/>
        </w:rPr>
        <w:t>部分條文</w:t>
      </w:r>
      <w:r w:rsidR="0087558F" w:rsidRPr="000E7695">
        <w:rPr>
          <w:rFonts w:ascii="標楷體" w:eastAsia="標楷體" w:hAnsi="標楷體" w:cs="Times New Roman" w:hint="eastAsia"/>
          <w:color w:val="000000" w:themeColor="text1"/>
          <w:sz w:val="36"/>
          <w:szCs w:val="36"/>
          <w:lang w:eastAsia="zh-HK"/>
        </w:rPr>
        <w:t>修正條文對照表</w:t>
      </w:r>
    </w:p>
    <w:tbl>
      <w:tblPr>
        <w:tblStyle w:val="a3"/>
        <w:tblW w:w="8646" w:type="dxa"/>
        <w:jc w:val="center"/>
        <w:tblLook w:val="04A0" w:firstRow="1" w:lastRow="0" w:firstColumn="1" w:lastColumn="0" w:noHBand="0" w:noVBand="1"/>
      </w:tblPr>
      <w:tblGrid>
        <w:gridCol w:w="3404"/>
        <w:gridCol w:w="3405"/>
        <w:gridCol w:w="1837"/>
      </w:tblGrid>
      <w:tr w:rsidR="0087558F" w:rsidRPr="00832997" w14:paraId="77767029" w14:textId="77777777" w:rsidTr="00B17620">
        <w:trPr>
          <w:trHeight w:val="176"/>
          <w:jc w:val="center"/>
        </w:trPr>
        <w:tc>
          <w:tcPr>
            <w:tcW w:w="3404" w:type="dxa"/>
            <w:vAlign w:val="center"/>
          </w:tcPr>
          <w:p w14:paraId="5F0E2F5A" w14:textId="77777777" w:rsidR="0087558F" w:rsidRPr="000E7695" w:rsidRDefault="0087558F" w:rsidP="00832997">
            <w:pPr>
              <w:snapToGrid w:val="0"/>
              <w:spacing w:line="400" w:lineRule="exact"/>
              <w:jc w:val="center"/>
              <w:rPr>
                <w:rFonts w:ascii="Times New Roman" w:eastAsia="標楷體" w:hAnsi="Times New Roman" w:cs="Times New Roman"/>
                <w:b/>
                <w:bCs/>
                <w:color w:val="000000" w:themeColor="text1"/>
                <w:szCs w:val="24"/>
              </w:rPr>
            </w:pPr>
            <w:r w:rsidRPr="000E7695">
              <w:rPr>
                <w:rFonts w:ascii="Times New Roman" w:eastAsia="標楷體" w:hAnsi="Times New Roman" w:cs="Times New Roman"/>
                <w:b/>
                <w:bCs/>
                <w:color w:val="000000" w:themeColor="text1"/>
                <w:szCs w:val="24"/>
              </w:rPr>
              <w:t>修正條文</w:t>
            </w:r>
          </w:p>
        </w:tc>
        <w:tc>
          <w:tcPr>
            <w:tcW w:w="3405" w:type="dxa"/>
            <w:vAlign w:val="center"/>
          </w:tcPr>
          <w:p w14:paraId="3E3B7094" w14:textId="77777777" w:rsidR="0087558F" w:rsidRPr="000E7695" w:rsidRDefault="0087558F" w:rsidP="00832997">
            <w:pPr>
              <w:snapToGrid w:val="0"/>
              <w:spacing w:line="400" w:lineRule="exact"/>
              <w:jc w:val="center"/>
              <w:rPr>
                <w:rFonts w:ascii="Times New Roman" w:eastAsia="標楷體" w:hAnsi="Times New Roman" w:cs="Times New Roman"/>
                <w:b/>
                <w:bCs/>
                <w:color w:val="000000" w:themeColor="text1"/>
                <w:szCs w:val="24"/>
              </w:rPr>
            </w:pPr>
            <w:r w:rsidRPr="000E7695">
              <w:rPr>
                <w:rFonts w:ascii="Times New Roman" w:eastAsia="標楷體" w:hAnsi="Times New Roman" w:cs="Times New Roman"/>
                <w:b/>
                <w:bCs/>
                <w:color w:val="000000" w:themeColor="text1"/>
                <w:szCs w:val="24"/>
              </w:rPr>
              <w:t>現行條文</w:t>
            </w:r>
          </w:p>
        </w:tc>
        <w:tc>
          <w:tcPr>
            <w:tcW w:w="1837" w:type="dxa"/>
            <w:vAlign w:val="center"/>
          </w:tcPr>
          <w:p w14:paraId="095AB24A" w14:textId="77777777" w:rsidR="0087558F" w:rsidRPr="000E7695" w:rsidRDefault="0087558F" w:rsidP="00832997">
            <w:pPr>
              <w:snapToGrid w:val="0"/>
              <w:spacing w:line="400" w:lineRule="exact"/>
              <w:jc w:val="center"/>
              <w:rPr>
                <w:rFonts w:ascii="Times New Roman" w:eastAsia="標楷體" w:hAnsi="Times New Roman" w:cs="Times New Roman"/>
                <w:b/>
                <w:bCs/>
                <w:color w:val="000000" w:themeColor="text1"/>
                <w:szCs w:val="24"/>
              </w:rPr>
            </w:pPr>
            <w:r w:rsidRPr="000E7695">
              <w:rPr>
                <w:rFonts w:ascii="Times New Roman" w:eastAsia="標楷體" w:hAnsi="Times New Roman" w:cs="Times New Roman"/>
                <w:b/>
                <w:bCs/>
                <w:color w:val="000000" w:themeColor="text1"/>
                <w:szCs w:val="24"/>
              </w:rPr>
              <w:t>說明</w:t>
            </w:r>
          </w:p>
        </w:tc>
      </w:tr>
      <w:tr w:rsidR="000737C6" w:rsidRPr="00832997" w14:paraId="5EA94771" w14:textId="77777777" w:rsidTr="00B17620">
        <w:trPr>
          <w:trHeight w:val="176"/>
          <w:jc w:val="center"/>
        </w:trPr>
        <w:tc>
          <w:tcPr>
            <w:tcW w:w="3404" w:type="dxa"/>
          </w:tcPr>
          <w:p w14:paraId="7CA86E9A" w14:textId="77777777" w:rsidR="000737C6" w:rsidRPr="000E7695" w:rsidRDefault="000737C6" w:rsidP="00832997">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0E7695">
              <w:rPr>
                <w:rFonts w:ascii="Times New Roman" w:eastAsia="標楷體" w:hAnsi="Times New Roman"/>
                <w:bCs/>
                <w:color w:val="000000" w:themeColor="text1"/>
                <w:szCs w:val="24"/>
              </w:rPr>
              <w:t>壹、基本資料建檔作業程序：</w:t>
            </w:r>
          </w:p>
          <w:p w14:paraId="64A7F1B8" w14:textId="77777777" w:rsidR="000737C6" w:rsidRPr="000E7695" w:rsidRDefault="000737C6" w:rsidP="00832997">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0E7695">
              <w:rPr>
                <w:rFonts w:ascii="Times New Roman" w:eastAsia="標楷體" w:hAnsi="Times New Roman"/>
                <w:bCs/>
                <w:color w:val="000000" w:themeColor="text1"/>
                <w:szCs w:val="24"/>
              </w:rPr>
              <w:t>一、主辦承銷商應於辦理競價拍賣作業前，對於尚無證券代號之有價證券，應依相關規定向台灣證券交易所股份有限公司（以下簡稱證交所）、或向財團法人中華民國證券櫃檯買賣中心（以下簡稱櫃買中心）申請證券代號。</w:t>
            </w:r>
          </w:p>
          <w:p w14:paraId="19F10FB7" w14:textId="77777777" w:rsidR="000737C6" w:rsidRPr="000E7695" w:rsidRDefault="000737C6" w:rsidP="00832997">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0E7695">
              <w:rPr>
                <w:rFonts w:ascii="Times New Roman" w:eastAsia="標楷體" w:hAnsi="Times New Roman"/>
                <w:bCs/>
                <w:color w:val="000000" w:themeColor="text1"/>
                <w:szCs w:val="24"/>
              </w:rPr>
              <w:t>二、</w:t>
            </w:r>
            <w:proofErr w:type="gramStart"/>
            <w:r w:rsidRPr="000E7695">
              <w:rPr>
                <w:rFonts w:ascii="Times New Roman" w:eastAsia="標楷體" w:hAnsi="Times New Roman"/>
                <w:bCs/>
                <w:color w:val="000000" w:themeColor="text1"/>
                <w:szCs w:val="24"/>
              </w:rPr>
              <w:t>採</w:t>
            </w:r>
            <w:proofErr w:type="gramEnd"/>
            <w:r w:rsidRPr="000E7695">
              <w:rPr>
                <w:rFonts w:ascii="Times New Roman" w:eastAsia="標楷體" w:hAnsi="Times New Roman"/>
                <w:bCs/>
                <w:color w:val="000000" w:themeColor="text1"/>
                <w:szCs w:val="24"/>
              </w:rPr>
              <w:t>競價拍賣配售方式辦理之承銷案件，主辦承銷商應於向本公會申報承銷書</w:t>
            </w:r>
            <w:proofErr w:type="gramStart"/>
            <w:r w:rsidRPr="000E7695">
              <w:rPr>
                <w:rFonts w:ascii="Times New Roman" w:eastAsia="標楷體" w:hAnsi="Times New Roman"/>
                <w:bCs/>
                <w:color w:val="000000" w:themeColor="text1"/>
                <w:szCs w:val="24"/>
              </w:rPr>
              <w:t>件時副知</w:t>
            </w:r>
            <w:proofErr w:type="gramEnd"/>
            <w:r w:rsidRPr="000E7695">
              <w:rPr>
                <w:rFonts w:ascii="Times New Roman" w:eastAsia="標楷體" w:hAnsi="Times New Roman"/>
                <w:bCs/>
                <w:color w:val="000000" w:themeColor="text1"/>
                <w:szCs w:val="24"/>
              </w:rPr>
              <w:t>證交所，</w:t>
            </w:r>
            <w:proofErr w:type="gramStart"/>
            <w:r w:rsidRPr="000E7695">
              <w:rPr>
                <w:rFonts w:ascii="Times New Roman" w:eastAsia="標楷體" w:hAnsi="Times New Roman"/>
                <w:bCs/>
                <w:color w:val="000000" w:themeColor="text1"/>
                <w:szCs w:val="24"/>
              </w:rPr>
              <w:t>並將競價</w:t>
            </w:r>
            <w:proofErr w:type="gramEnd"/>
            <w:r w:rsidRPr="000E7695">
              <w:rPr>
                <w:rFonts w:ascii="Times New Roman" w:eastAsia="標楷體" w:hAnsi="Times New Roman"/>
                <w:bCs/>
                <w:color w:val="000000" w:themeColor="text1"/>
                <w:szCs w:val="24"/>
              </w:rPr>
              <w:t>拍賣（承銷）公告文稿及時程表送達證交所，並副知台灣集中保管結算所股份有限公司（以下簡稱集保結算所），如屬上櫃有價證券應另</w:t>
            </w:r>
            <w:proofErr w:type="gramStart"/>
            <w:r w:rsidRPr="000E7695">
              <w:rPr>
                <w:rFonts w:ascii="Times New Roman" w:eastAsia="標楷體" w:hAnsi="Times New Roman"/>
                <w:bCs/>
                <w:color w:val="000000" w:themeColor="text1"/>
                <w:szCs w:val="24"/>
              </w:rPr>
              <w:t>函送櫃買</w:t>
            </w:r>
            <w:proofErr w:type="gramEnd"/>
            <w:r w:rsidRPr="000E7695">
              <w:rPr>
                <w:rFonts w:ascii="Times New Roman" w:eastAsia="標楷體" w:hAnsi="Times New Roman"/>
                <w:bCs/>
                <w:color w:val="000000" w:themeColor="text1"/>
                <w:szCs w:val="24"/>
              </w:rPr>
              <w:t>中心，證交所應據以於刊登競價拍賣公告前建立電腦基本資料檔，並以電腦連線系統供各證券商查詢。</w:t>
            </w:r>
          </w:p>
          <w:p w14:paraId="22383641" w14:textId="2E0E2507" w:rsidR="000737C6" w:rsidRPr="000E7695" w:rsidRDefault="000737C6" w:rsidP="00832997">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0E7695">
              <w:rPr>
                <w:rFonts w:ascii="Times New Roman" w:eastAsia="標楷體" w:hAnsi="Times New Roman"/>
                <w:bCs/>
                <w:color w:val="000000" w:themeColor="text1"/>
                <w:szCs w:val="24"/>
              </w:rPr>
              <w:t>三、建立基本資料及上傳不得參與競價拍賣名單：競價拍賣公告日前二個營業日，主辦承銷商應於「承銷有價證券競價拍賣系統」</w:t>
            </w:r>
            <w:r w:rsidRPr="000E7695">
              <w:rPr>
                <w:rFonts w:ascii="Times New Roman" w:eastAsia="標楷體" w:hAnsi="Times New Roman"/>
                <w:bCs/>
                <w:color w:val="000000" w:themeColor="text1"/>
                <w:szCs w:val="24"/>
              </w:rPr>
              <w:lastRenderedPageBreak/>
              <w:t>(</w:t>
            </w:r>
            <w:r w:rsidRPr="000E7695">
              <w:rPr>
                <w:rFonts w:ascii="Times New Roman" w:eastAsia="標楷體" w:hAnsi="Times New Roman"/>
                <w:bCs/>
                <w:color w:val="000000" w:themeColor="text1"/>
                <w:szCs w:val="24"/>
              </w:rPr>
              <w:t>以下簡稱競拍系統</w:t>
            </w:r>
            <w:r w:rsidRPr="000E7695">
              <w:rPr>
                <w:rFonts w:ascii="Times New Roman" w:eastAsia="標楷體" w:hAnsi="Times New Roman"/>
                <w:bCs/>
                <w:color w:val="000000" w:themeColor="text1"/>
                <w:szCs w:val="24"/>
              </w:rPr>
              <w:t>)</w:t>
            </w:r>
            <w:r w:rsidRPr="000E7695">
              <w:rPr>
                <w:rFonts w:ascii="Times New Roman" w:eastAsia="標楷體" w:hAnsi="Times New Roman"/>
                <w:bCs/>
                <w:color w:val="000000" w:themeColor="text1"/>
                <w:szCs w:val="24"/>
              </w:rPr>
              <w:t>建立案件基本資料，並上傳依</w:t>
            </w:r>
            <w:r w:rsidR="00885D70" w:rsidRPr="000E7695">
              <w:rPr>
                <w:rFonts w:ascii="Times New Roman" w:eastAsia="標楷體" w:hAnsi="Times New Roman"/>
                <w:b/>
                <w:color w:val="000000" w:themeColor="text1"/>
                <w:szCs w:val="24"/>
                <w:u w:val="single"/>
              </w:rPr>
              <w:t>本公會「證券商承銷或再行銷售有價證券處理辦法」（以下簡稱本辦法）</w:t>
            </w:r>
            <w:r w:rsidRPr="000E7695">
              <w:rPr>
                <w:rFonts w:ascii="Times New Roman" w:eastAsia="標楷體" w:hAnsi="Times New Roman"/>
                <w:bCs/>
                <w:color w:val="000000" w:themeColor="text1"/>
                <w:szCs w:val="24"/>
              </w:rPr>
              <w:t>第三十六條不得參與投標之名單，協辦承銷商應各自上傳依本辦法第三十六條第一項第七款不得參與投標之名單，證交所據以比對投標人身份之適法性。</w:t>
            </w:r>
          </w:p>
          <w:p w14:paraId="5657F561" w14:textId="44B72B50" w:rsidR="000737C6" w:rsidRPr="000E7695" w:rsidRDefault="000737C6" w:rsidP="00832997">
            <w:pPr>
              <w:pStyle w:val="a4"/>
              <w:spacing w:before="60" w:after="60" w:line="400" w:lineRule="exact"/>
              <w:ind w:left="480" w:hangingChars="200" w:hanging="480"/>
              <w:jc w:val="both"/>
              <w:rPr>
                <w:rFonts w:ascii="Times New Roman" w:eastAsia="標楷體" w:hAnsi="Times New Roman"/>
                <w:b/>
                <w:color w:val="000000" w:themeColor="text1"/>
                <w:szCs w:val="24"/>
                <w:u w:val="single"/>
              </w:rPr>
            </w:pPr>
            <w:r w:rsidRPr="000E7695">
              <w:rPr>
                <w:rFonts w:ascii="Times New Roman" w:eastAsia="標楷體" w:hAnsi="Times New Roman"/>
                <w:b/>
                <w:color w:val="000000" w:themeColor="text1"/>
                <w:szCs w:val="24"/>
                <w:u w:val="single"/>
              </w:rPr>
              <w:t>四、</w:t>
            </w:r>
            <w:r w:rsidR="00A53FDB" w:rsidRPr="000E7695">
              <w:rPr>
                <w:rFonts w:ascii="Times New Roman" w:eastAsia="標楷體" w:hAnsi="Times New Roman"/>
                <w:b/>
                <w:color w:val="000000" w:themeColor="text1"/>
                <w:szCs w:val="24"/>
                <w:u w:val="single"/>
              </w:rPr>
              <w:t>上傳</w:t>
            </w:r>
            <w:r w:rsidRPr="000E7695">
              <w:rPr>
                <w:rFonts w:ascii="Times New Roman" w:eastAsia="標楷體" w:hAnsi="Times New Roman"/>
                <w:b/>
                <w:color w:val="000000" w:themeColor="text1"/>
                <w:szCs w:val="24"/>
                <w:u w:val="single"/>
              </w:rPr>
              <w:t>創新板合格投資人名單：</w:t>
            </w:r>
            <w:r w:rsidR="00223E46" w:rsidRPr="000E7695">
              <w:rPr>
                <w:rFonts w:ascii="Times New Roman" w:eastAsia="標楷體" w:hAnsi="Times New Roman"/>
                <w:b/>
                <w:color w:val="000000" w:themeColor="text1"/>
                <w:szCs w:val="24"/>
                <w:u w:val="single"/>
              </w:rPr>
              <w:t>辦理股票</w:t>
            </w:r>
            <w:r w:rsidR="00F835F5" w:rsidRPr="000E7695">
              <w:rPr>
                <w:rFonts w:ascii="Times New Roman" w:eastAsia="標楷體" w:hAnsi="Times New Roman"/>
                <w:b/>
                <w:color w:val="000000" w:themeColor="text1"/>
                <w:szCs w:val="24"/>
                <w:u w:val="single"/>
              </w:rPr>
              <w:t>申</w:t>
            </w:r>
            <w:r w:rsidR="00A53FDB" w:rsidRPr="000E7695">
              <w:rPr>
                <w:rFonts w:ascii="Times New Roman" w:eastAsia="標楷體" w:hAnsi="Times New Roman"/>
                <w:b/>
                <w:color w:val="000000" w:themeColor="text1"/>
                <w:szCs w:val="24"/>
                <w:u w:val="single"/>
              </w:rPr>
              <w:t>請創新板初次上市案件，經紀商應於投標</w:t>
            </w:r>
            <w:bookmarkStart w:id="0" w:name="_Hlk133496181"/>
            <w:r w:rsidR="00A53FDB" w:rsidRPr="000E7695">
              <w:rPr>
                <w:rFonts w:ascii="Times New Roman" w:eastAsia="標楷體" w:hAnsi="Times New Roman"/>
                <w:b/>
                <w:color w:val="000000" w:themeColor="text1"/>
                <w:szCs w:val="24"/>
                <w:u w:val="single"/>
              </w:rPr>
              <w:t>截止日下午二時三十分前，上傳符合本辦法第四十三條之</w:t>
            </w:r>
            <w:proofErr w:type="gramStart"/>
            <w:r w:rsidR="00A53FDB" w:rsidRPr="000E7695">
              <w:rPr>
                <w:rFonts w:ascii="Times New Roman" w:eastAsia="標楷體" w:hAnsi="Times New Roman"/>
                <w:b/>
                <w:color w:val="000000" w:themeColor="text1"/>
                <w:szCs w:val="24"/>
                <w:u w:val="single"/>
              </w:rPr>
              <w:t>一</w:t>
            </w:r>
            <w:proofErr w:type="gramEnd"/>
            <w:r w:rsidR="00A53FDB" w:rsidRPr="000E7695">
              <w:rPr>
                <w:rFonts w:ascii="Times New Roman" w:eastAsia="標楷體" w:hAnsi="Times New Roman"/>
                <w:b/>
                <w:color w:val="000000" w:themeColor="text1"/>
                <w:szCs w:val="24"/>
                <w:u w:val="single"/>
              </w:rPr>
              <w:t>第二項所稱合格投資人之</w:t>
            </w:r>
            <w:proofErr w:type="gramStart"/>
            <w:r w:rsidR="00A53FDB" w:rsidRPr="000E7695">
              <w:rPr>
                <w:rFonts w:ascii="Times New Roman" w:eastAsia="標楷體" w:hAnsi="Times New Roman"/>
                <w:b/>
                <w:color w:val="000000" w:themeColor="text1"/>
                <w:szCs w:val="24"/>
                <w:u w:val="single"/>
              </w:rPr>
              <w:t>名單至競拍</w:t>
            </w:r>
            <w:proofErr w:type="gramEnd"/>
            <w:r w:rsidR="00A53FDB" w:rsidRPr="000E7695">
              <w:rPr>
                <w:rFonts w:ascii="Times New Roman" w:eastAsia="標楷體" w:hAnsi="Times New Roman"/>
                <w:b/>
                <w:color w:val="000000" w:themeColor="text1"/>
                <w:szCs w:val="24"/>
                <w:u w:val="single"/>
              </w:rPr>
              <w:t>系統</w:t>
            </w:r>
            <w:bookmarkEnd w:id="0"/>
            <w:r w:rsidR="00A53FDB" w:rsidRPr="000E7695">
              <w:rPr>
                <w:rFonts w:ascii="Times New Roman" w:eastAsia="標楷體" w:hAnsi="Times New Roman"/>
                <w:b/>
                <w:color w:val="000000" w:themeColor="text1"/>
                <w:szCs w:val="24"/>
                <w:u w:val="single"/>
              </w:rPr>
              <w:t>，證交所據以比對投標人身份之適法性</w:t>
            </w:r>
            <w:r w:rsidR="00A53FDB" w:rsidRPr="000E7695">
              <w:rPr>
                <w:rFonts w:ascii="Times New Roman" w:eastAsia="標楷體" w:hAnsi="Times New Roman"/>
                <w:b/>
                <w:color w:val="000000" w:themeColor="text1"/>
                <w:szCs w:val="24"/>
              </w:rPr>
              <w:t>。</w:t>
            </w:r>
          </w:p>
        </w:tc>
        <w:tc>
          <w:tcPr>
            <w:tcW w:w="3405" w:type="dxa"/>
          </w:tcPr>
          <w:p w14:paraId="324732C0" w14:textId="77777777" w:rsidR="000737C6" w:rsidRPr="000E7695" w:rsidRDefault="000737C6" w:rsidP="00832997">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0E7695">
              <w:rPr>
                <w:rFonts w:ascii="Times New Roman" w:eastAsia="標楷體" w:hAnsi="Times New Roman"/>
                <w:bCs/>
                <w:color w:val="000000" w:themeColor="text1"/>
                <w:szCs w:val="24"/>
              </w:rPr>
              <w:lastRenderedPageBreak/>
              <w:t>壹、基本資料建檔作業程序：</w:t>
            </w:r>
          </w:p>
          <w:p w14:paraId="7072C95D" w14:textId="69B3D248" w:rsidR="000737C6" w:rsidRPr="000E7695" w:rsidRDefault="000737C6" w:rsidP="00832997">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0E7695">
              <w:rPr>
                <w:rFonts w:ascii="Times New Roman" w:eastAsia="標楷體" w:hAnsi="Times New Roman"/>
                <w:bCs/>
                <w:color w:val="000000" w:themeColor="text1"/>
                <w:szCs w:val="24"/>
              </w:rPr>
              <w:t>一、主辦承銷商應於辦理競價拍賣作業前，對於尚無證券代號之有價證券，應依相關規定向台灣證券交易所股份有限公司（以下簡稱證交所）、或向財團法人中華民國證券櫃檯買賣中心（以下簡稱櫃買中心）申請證券代號。</w:t>
            </w:r>
          </w:p>
          <w:p w14:paraId="7EA3D7E9" w14:textId="1BE36920" w:rsidR="000737C6" w:rsidRPr="000E7695" w:rsidRDefault="000737C6" w:rsidP="00832997">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0E7695">
              <w:rPr>
                <w:rFonts w:ascii="Times New Roman" w:eastAsia="標楷體" w:hAnsi="Times New Roman"/>
                <w:bCs/>
                <w:color w:val="000000" w:themeColor="text1"/>
                <w:szCs w:val="24"/>
              </w:rPr>
              <w:t>二、</w:t>
            </w:r>
            <w:proofErr w:type="gramStart"/>
            <w:r w:rsidRPr="000E7695">
              <w:rPr>
                <w:rFonts w:ascii="Times New Roman" w:eastAsia="標楷體" w:hAnsi="Times New Roman"/>
                <w:bCs/>
                <w:color w:val="000000" w:themeColor="text1"/>
                <w:szCs w:val="24"/>
              </w:rPr>
              <w:t>採</w:t>
            </w:r>
            <w:proofErr w:type="gramEnd"/>
            <w:r w:rsidRPr="000E7695">
              <w:rPr>
                <w:rFonts w:ascii="Times New Roman" w:eastAsia="標楷體" w:hAnsi="Times New Roman"/>
                <w:bCs/>
                <w:color w:val="000000" w:themeColor="text1"/>
                <w:szCs w:val="24"/>
              </w:rPr>
              <w:t>競價拍賣配售方式辦理之承銷案件，主辦承銷商應於向本公會申報承銷書</w:t>
            </w:r>
            <w:proofErr w:type="gramStart"/>
            <w:r w:rsidRPr="000E7695">
              <w:rPr>
                <w:rFonts w:ascii="Times New Roman" w:eastAsia="標楷體" w:hAnsi="Times New Roman"/>
                <w:bCs/>
                <w:color w:val="000000" w:themeColor="text1"/>
                <w:szCs w:val="24"/>
              </w:rPr>
              <w:t>件時副知</w:t>
            </w:r>
            <w:proofErr w:type="gramEnd"/>
            <w:r w:rsidRPr="000E7695">
              <w:rPr>
                <w:rFonts w:ascii="Times New Roman" w:eastAsia="標楷體" w:hAnsi="Times New Roman"/>
                <w:bCs/>
                <w:color w:val="000000" w:themeColor="text1"/>
                <w:szCs w:val="24"/>
              </w:rPr>
              <w:t>證交所，</w:t>
            </w:r>
            <w:proofErr w:type="gramStart"/>
            <w:r w:rsidRPr="000E7695">
              <w:rPr>
                <w:rFonts w:ascii="Times New Roman" w:eastAsia="標楷體" w:hAnsi="Times New Roman"/>
                <w:bCs/>
                <w:color w:val="000000" w:themeColor="text1"/>
                <w:szCs w:val="24"/>
              </w:rPr>
              <w:t>並將競價</w:t>
            </w:r>
            <w:proofErr w:type="gramEnd"/>
            <w:r w:rsidRPr="000E7695">
              <w:rPr>
                <w:rFonts w:ascii="Times New Roman" w:eastAsia="標楷體" w:hAnsi="Times New Roman"/>
                <w:bCs/>
                <w:color w:val="000000" w:themeColor="text1"/>
                <w:szCs w:val="24"/>
              </w:rPr>
              <w:t>拍賣（承銷）公告文稿及時程表送達證交所，並副知台灣集中保管結算所股份有限公司（以下簡稱集保結算所），如屬上櫃有價證券應另</w:t>
            </w:r>
            <w:proofErr w:type="gramStart"/>
            <w:r w:rsidRPr="000E7695">
              <w:rPr>
                <w:rFonts w:ascii="Times New Roman" w:eastAsia="標楷體" w:hAnsi="Times New Roman"/>
                <w:bCs/>
                <w:color w:val="000000" w:themeColor="text1"/>
                <w:szCs w:val="24"/>
              </w:rPr>
              <w:t>函送櫃買</w:t>
            </w:r>
            <w:proofErr w:type="gramEnd"/>
            <w:r w:rsidRPr="000E7695">
              <w:rPr>
                <w:rFonts w:ascii="Times New Roman" w:eastAsia="標楷體" w:hAnsi="Times New Roman"/>
                <w:bCs/>
                <w:color w:val="000000" w:themeColor="text1"/>
                <w:szCs w:val="24"/>
              </w:rPr>
              <w:t>中心，證交所應據以於刊登競價拍賣公告前建立電腦基本資料檔，並以電腦連線系統供各證券商查詢。</w:t>
            </w:r>
          </w:p>
          <w:p w14:paraId="076D7132" w14:textId="63D3EFA1" w:rsidR="000737C6" w:rsidRPr="000E7695" w:rsidRDefault="000737C6" w:rsidP="00832997">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0E7695">
              <w:rPr>
                <w:rFonts w:ascii="Times New Roman" w:eastAsia="標楷體" w:hAnsi="Times New Roman"/>
                <w:bCs/>
                <w:color w:val="000000" w:themeColor="text1"/>
                <w:szCs w:val="24"/>
              </w:rPr>
              <w:t>三、建立基本資料及上傳不得參與競價拍賣名單：競價拍賣公告日前二個營業日，主辦承銷商應於「承銷有價證券競價拍賣系統」</w:t>
            </w:r>
            <w:r w:rsidRPr="000E7695">
              <w:rPr>
                <w:rFonts w:ascii="Times New Roman" w:eastAsia="標楷體" w:hAnsi="Times New Roman"/>
                <w:bCs/>
                <w:color w:val="000000" w:themeColor="text1"/>
                <w:szCs w:val="24"/>
              </w:rPr>
              <w:lastRenderedPageBreak/>
              <w:t>(</w:t>
            </w:r>
            <w:r w:rsidRPr="000E7695">
              <w:rPr>
                <w:rFonts w:ascii="Times New Roman" w:eastAsia="標楷體" w:hAnsi="Times New Roman"/>
                <w:bCs/>
                <w:color w:val="000000" w:themeColor="text1"/>
                <w:szCs w:val="24"/>
              </w:rPr>
              <w:t>以下簡稱競拍系統</w:t>
            </w:r>
            <w:r w:rsidRPr="000E7695">
              <w:rPr>
                <w:rFonts w:ascii="Times New Roman" w:eastAsia="標楷體" w:hAnsi="Times New Roman"/>
                <w:bCs/>
                <w:color w:val="000000" w:themeColor="text1"/>
                <w:szCs w:val="24"/>
              </w:rPr>
              <w:t>)</w:t>
            </w:r>
            <w:r w:rsidRPr="000E7695">
              <w:rPr>
                <w:rFonts w:ascii="Times New Roman" w:eastAsia="標楷體" w:hAnsi="Times New Roman"/>
                <w:bCs/>
                <w:color w:val="000000" w:themeColor="text1"/>
                <w:szCs w:val="24"/>
              </w:rPr>
              <w:t>建立案件基本資料，並上傳依</w:t>
            </w:r>
            <w:r w:rsidRPr="000E7695">
              <w:rPr>
                <w:rFonts w:ascii="Times New Roman" w:eastAsia="標楷體" w:hAnsi="Times New Roman"/>
                <w:b/>
                <w:color w:val="000000" w:themeColor="text1"/>
                <w:szCs w:val="24"/>
                <w:u w:val="single"/>
              </w:rPr>
              <w:t>本辦法</w:t>
            </w:r>
            <w:r w:rsidRPr="000E7695">
              <w:rPr>
                <w:rFonts w:ascii="Times New Roman" w:eastAsia="標楷體" w:hAnsi="Times New Roman"/>
                <w:bCs/>
                <w:color w:val="000000" w:themeColor="text1"/>
                <w:szCs w:val="24"/>
              </w:rPr>
              <w:t>第三十六條不得參與投標之名單，協辦承銷商應各自上傳依本辦法第三十六條第一項第七款不得參與投標之名單，證交所據以比對投標人身份之適法性。</w:t>
            </w:r>
          </w:p>
        </w:tc>
        <w:tc>
          <w:tcPr>
            <w:tcW w:w="1837" w:type="dxa"/>
          </w:tcPr>
          <w:p w14:paraId="3B9206B6" w14:textId="77777777" w:rsidR="00617843" w:rsidRPr="000E7695" w:rsidRDefault="00617843" w:rsidP="00832997">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0E7695">
              <w:rPr>
                <w:rFonts w:ascii="Times New Roman" w:eastAsia="標楷體" w:hAnsi="Times New Roman"/>
                <w:bCs/>
                <w:color w:val="000000" w:themeColor="text1"/>
                <w:szCs w:val="24"/>
              </w:rPr>
              <w:lastRenderedPageBreak/>
              <w:t>一、</w:t>
            </w:r>
            <w:proofErr w:type="gramStart"/>
            <w:r w:rsidRPr="000E7695">
              <w:rPr>
                <w:rFonts w:ascii="Times New Roman" w:eastAsia="標楷體" w:hAnsi="Times New Roman"/>
                <w:bCs/>
                <w:color w:val="000000" w:themeColor="text1"/>
                <w:szCs w:val="24"/>
              </w:rPr>
              <w:t>修正壹、</w:t>
            </w:r>
            <w:proofErr w:type="gramEnd"/>
            <w:r w:rsidRPr="000E7695">
              <w:rPr>
                <w:rFonts w:ascii="Times New Roman" w:eastAsia="標楷體" w:hAnsi="Times New Roman"/>
                <w:bCs/>
                <w:color w:val="000000" w:themeColor="text1"/>
                <w:szCs w:val="24"/>
              </w:rPr>
              <w:t>三、明確定義本處理辦法所稱之本辦法為本公會「證券商承銷或再行銷售有價證券處理辦法」。</w:t>
            </w:r>
          </w:p>
          <w:p w14:paraId="0C9C2E4F" w14:textId="1EA14343" w:rsidR="00617843" w:rsidRPr="000E7695" w:rsidRDefault="00617843" w:rsidP="00832997">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0E7695">
              <w:rPr>
                <w:rFonts w:ascii="Times New Roman" w:eastAsia="標楷體" w:hAnsi="Times New Roman"/>
                <w:bCs/>
                <w:color w:val="000000" w:themeColor="text1"/>
                <w:szCs w:val="24"/>
              </w:rPr>
              <w:t>二、新增壹、四，明訂創新板初次上市案件，經紀商應於投標截止日下午</w:t>
            </w:r>
            <w:r w:rsidRPr="000E7695">
              <w:rPr>
                <w:rFonts w:ascii="Times New Roman" w:eastAsia="標楷體" w:hAnsi="Times New Roman"/>
                <w:bCs/>
                <w:color w:val="000000" w:themeColor="text1"/>
                <w:szCs w:val="24"/>
              </w:rPr>
              <w:t>2</w:t>
            </w:r>
            <w:r w:rsidRPr="000E7695">
              <w:rPr>
                <w:rFonts w:ascii="Times New Roman" w:eastAsia="標楷體" w:hAnsi="Times New Roman"/>
                <w:bCs/>
                <w:color w:val="000000" w:themeColor="text1"/>
                <w:szCs w:val="24"/>
              </w:rPr>
              <w:t>時</w:t>
            </w:r>
            <w:r w:rsidRPr="000E7695">
              <w:rPr>
                <w:rFonts w:ascii="Times New Roman" w:eastAsia="標楷體" w:hAnsi="Times New Roman"/>
                <w:bCs/>
                <w:color w:val="000000" w:themeColor="text1"/>
                <w:szCs w:val="24"/>
              </w:rPr>
              <w:t>30</w:t>
            </w:r>
            <w:r w:rsidRPr="000E7695">
              <w:rPr>
                <w:rFonts w:ascii="Times New Roman" w:eastAsia="標楷體" w:hAnsi="Times New Roman"/>
                <w:bCs/>
                <w:color w:val="000000" w:themeColor="text1"/>
                <w:szCs w:val="24"/>
              </w:rPr>
              <w:t>分前上傳合格投資人</w:t>
            </w:r>
            <w:proofErr w:type="gramStart"/>
            <w:r w:rsidRPr="000E7695">
              <w:rPr>
                <w:rFonts w:ascii="Times New Roman" w:eastAsia="標楷體" w:hAnsi="Times New Roman"/>
                <w:bCs/>
                <w:color w:val="000000" w:themeColor="text1"/>
                <w:szCs w:val="24"/>
              </w:rPr>
              <w:t>名單至競拍</w:t>
            </w:r>
            <w:proofErr w:type="gramEnd"/>
            <w:r w:rsidRPr="000E7695">
              <w:rPr>
                <w:rFonts w:ascii="Times New Roman" w:eastAsia="標楷體" w:hAnsi="Times New Roman"/>
                <w:bCs/>
                <w:color w:val="000000" w:themeColor="text1"/>
                <w:szCs w:val="24"/>
              </w:rPr>
              <w:t>系統，並由證交所</w:t>
            </w:r>
            <w:proofErr w:type="gramStart"/>
            <w:r w:rsidR="00223E46" w:rsidRPr="000E7695">
              <w:rPr>
                <w:rFonts w:ascii="Times New Roman" w:eastAsia="標楷體" w:hAnsi="Times New Roman"/>
                <w:bCs/>
                <w:color w:val="000000" w:themeColor="text1"/>
                <w:szCs w:val="24"/>
              </w:rPr>
              <w:t>依肆、</w:t>
            </w:r>
            <w:proofErr w:type="gramEnd"/>
            <w:r w:rsidR="00223E46" w:rsidRPr="000E7695">
              <w:rPr>
                <w:rFonts w:ascii="Times New Roman" w:eastAsia="標楷體" w:hAnsi="Times New Roman"/>
                <w:bCs/>
                <w:color w:val="000000" w:themeColor="text1"/>
                <w:szCs w:val="24"/>
              </w:rPr>
              <w:t>一、規定辦理投標單合格件及不合格件之篩選作業</w:t>
            </w:r>
            <w:r w:rsidRPr="000E7695">
              <w:rPr>
                <w:rFonts w:ascii="Times New Roman" w:eastAsia="標楷體" w:hAnsi="Times New Roman"/>
                <w:bCs/>
                <w:color w:val="000000" w:themeColor="text1"/>
                <w:szCs w:val="24"/>
              </w:rPr>
              <w:t>。</w:t>
            </w:r>
          </w:p>
        </w:tc>
      </w:tr>
      <w:tr w:rsidR="00E308A6" w:rsidRPr="00832997" w14:paraId="6D8339EE" w14:textId="77777777" w:rsidTr="00B17620">
        <w:trPr>
          <w:trHeight w:val="176"/>
          <w:jc w:val="center"/>
        </w:trPr>
        <w:tc>
          <w:tcPr>
            <w:tcW w:w="3404" w:type="dxa"/>
          </w:tcPr>
          <w:p w14:paraId="47A82422" w14:textId="77777777" w:rsidR="00E308A6" w:rsidRPr="000E7695" w:rsidRDefault="00E308A6" w:rsidP="00832997">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0E7695">
              <w:rPr>
                <w:rFonts w:ascii="Times New Roman" w:eastAsia="標楷體" w:hAnsi="Times New Roman"/>
                <w:bCs/>
                <w:color w:val="000000" w:themeColor="text1"/>
                <w:szCs w:val="24"/>
              </w:rPr>
              <w:t>伍、保證金退款、扣繳價款作業程序：</w:t>
            </w:r>
          </w:p>
          <w:p w14:paraId="187EF58F" w14:textId="77777777" w:rsidR="00E308A6" w:rsidRPr="000E7695" w:rsidRDefault="00E308A6" w:rsidP="00832997">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0E7695">
              <w:rPr>
                <w:rFonts w:ascii="Times New Roman" w:eastAsia="標楷體" w:hAnsi="Times New Roman"/>
                <w:bCs/>
                <w:color w:val="000000" w:themeColor="text1"/>
                <w:szCs w:val="24"/>
              </w:rPr>
              <w:t>一、未得標及不合格件保證金退款作業：經紀商應於開標日次一營業日上午十點前，依證交所電腦資料，指示往來銀行將未得標及不合格件之保證金不加計利息予以退回，惟投標處理費不予退回。另已得標之投標人，如發現有不具本辦法第三十五條資格者或有第十三條之情事者，視為不合格件，應辦理已扣</w:t>
            </w:r>
            <w:r w:rsidRPr="000E7695">
              <w:rPr>
                <w:rFonts w:ascii="Times New Roman" w:eastAsia="標楷體" w:hAnsi="Times New Roman"/>
                <w:bCs/>
                <w:color w:val="000000" w:themeColor="text1"/>
                <w:szCs w:val="24"/>
              </w:rPr>
              <w:lastRenderedPageBreak/>
              <w:t>繳投標保證金之退款事宜。</w:t>
            </w:r>
          </w:p>
          <w:p w14:paraId="22F74CD1" w14:textId="14FEB66E" w:rsidR="00E308A6" w:rsidRPr="000E7695" w:rsidRDefault="00E308A6" w:rsidP="00832997">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0E7695">
              <w:rPr>
                <w:rFonts w:ascii="Times New Roman" w:eastAsia="標楷體" w:hAnsi="Times New Roman"/>
                <w:bCs/>
                <w:color w:val="000000" w:themeColor="text1"/>
                <w:szCs w:val="24"/>
              </w:rPr>
              <w:t>二、初次上市</w:t>
            </w:r>
            <w:r w:rsidRPr="000E7695">
              <w:rPr>
                <w:rFonts w:ascii="Times New Roman" w:eastAsia="標楷體" w:hAnsi="Times New Roman"/>
                <w:bCs/>
                <w:color w:val="000000" w:themeColor="text1"/>
                <w:szCs w:val="24"/>
              </w:rPr>
              <w:t>(</w:t>
            </w:r>
            <w:r w:rsidRPr="000E7695">
              <w:rPr>
                <w:rFonts w:ascii="Times New Roman" w:eastAsia="標楷體" w:hAnsi="Times New Roman"/>
                <w:bCs/>
                <w:color w:val="000000" w:themeColor="text1"/>
                <w:szCs w:val="24"/>
              </w:rPr>
              <w:t>櫃</w:t>
            </w:r>
            <w:r w:rsidRPr="000E7695">
              <w:rPr>
                <w:rFonts w:ascii="Times New Roman" w:eastAsia="標楷體" w:hAnsi="Times New Roman"/>
                <w:bCs/>
                <w:color w:val="000000" w:themeColor="text1"/>
                <w:szCs w:val="24"/>
              </w:rPr>
              <w:t>)</w:t>
            </w:r>
            <w:r w:rsidRPr="000E7695">
              <w:rPr>
                <w:rFonts w:ascii="Times New Roman" w:eastAsia="標楷體" w:hAnsi="Times New Roman"/>
                <w:bCs/>
                <w:color w:val="000000" w:themeColor="text1"/>
                <w:szCs w:val="24"/>
              </w:rPr>
              <w:t>案件</w:t>
            </w:r>
            <w:r w:rsidRPr="000E7695">
              <w:rPr>
                <w:rFonts w:ascii="Times New Roman" w:eastAsia="標楷體" w:hAnsi="Times New Roman"/>
                <w:b/>
                <w:color w:val="000000" w:themeColor="text1"/>
                <w:szCs w:val="24"/>
                <w:u w:val="single"/>
              </w:rPr>
              <w:t>、股票申請創新板初次上市案件</w:t>
            </w:r>
            <w:r w:rsidR="001A74FA" w:rsidRPr="000E7695">
              <w:rPr>
                <w:rFonts w:ascii="Times New Roman" w:eastAsia="標楷體" w:hAnsi="Times New Roman"/>
                <w:b/>
                <w:color w:val="000000" w:themeColor="text1"/>
                <w:szCs w:val="24"/>
                <w:u w:val="single"/>
              </w:rPr>
              <w:t>及創新板上市公司轉列上市</w:t>
            </w:r>
            <w:r w:rsidR="001A74FA" w:rsidRPr="000E7695">
              <w:rPr>
                <w:rFonts w:ascii="Times New Roman" w:eastAsia="標楷體" w:hAnsi="Times New Roman"/>
                <w:b/>
                <w:color w:val="000000" w:themeColor="text1"/>
                <w:szCs w:val="24"/>
                <w:u w:val="single"/>
              </w:rPr>
              <w:t>(</w:t>
            </w:r>
            <w:r w:rsidR="001A74FA" w:rsidRPr="000E7695">
              <w:rPr>
                <w:rFonts w:ascii="Times New Roman" w:eastAsia="標楷體" w:hAnsi="Times New Roman"/>
                <w:b/>
                <w:color w:val="000000" w:themeColor="text1"/>
                <w:szCs w:val="24"/>
                <w:u w:val="single"/>
              </w:rPr>
              <w:t>櫃</w:t>
            </w:r>
            <w:r w:rsidR="001A74FA" w:rsidRPr="000E7695">
              <w:rPr>
                <w:rFonts w:ascii="Times New Roman" w:eastAsia="標楷體" w:hAnsi="Times New Roman"/>
                <w:b/>
                <w:color w:val="000000" w:themeColor="text1"/>
                <w:szCs w:val="24"/>
                <w:u w:val="single"/>
              </w:rPr>
              <w:t>)</w:t>
            </w:r>
            <w:r w:rsidR="001A74FA" w:rsidRPr="000E7695">
              <w:rPr>
                <w:rFonts w:ascii="Times New Roman" w:eastAsia="標楷體" w:hAnsi="Times New Roman"/>
                <w:b/>
                <w:color w:val="000000" w:themeColor="text1"/>
                <w:szCs w:val="24"/>
                <w:u w:val="single"/>
              </w:rPr>
              <w:t>公司承銷案件</w:t>
            </w:r>
            <w:r w:rsidRPr="000E7695">
              <w:rPr>
                <w:rFonts w:ascii="Times New Roman" w:eastAsia="標楷體" w:hAnsi="Times New Roman"/>
                <w:bCs/>
                <w:color w:val="000000" w:themeColor="text1"/>
                <w:szCs w:val="24"/>
              </w:rPr>
              <w:t>未完成訂價之退款：</w:t>
            </w:r>
            <w:proofErr w:type="gramStart"/>
            <w:r w:rsidRPr="000E7695">
              <w:rPr>
                <w:rFonts w:ascii="Times New Roman" w:eastAsia="標楷體" w:hAnsi="Times New Roman"/>
                <w:bCs/>
                <w:color w:val="000000" w:themeColor="text1"/>
                <w:szCs w:val="24"/>
              </w:rPr>
              <w:t>採</w:t>
            </w:r>
            <w:proofErr w:type="gramEnd"/>
            <w:r w:rsidRPr="000E7695">
              <w:rPr>
                <w:rFonts w:ascii="Times New Roman" w:eastAsia="標楷體" w:hAnsi="Times New Roman"/>
                <w:bCs/>
                <w:color w:val="000000" w:themeColor="text1"/>
                <w:szCs w:val="24"/>
              </w:rPr>
              <w:t>全數競價拍賣或部分競價拍賣部分公開申購方式辦理者，如因合格標單累計數量未達該次提交競價拍賣之承銷數量，證交所將不辦理開標，經紀商應於投標截止日後次三營業日上午十點前，指示往來銀行將投標人之投標保證金及扣除相關作業費用後之投標處理</w:t>
            </w:r>
            <w:proofErr w:type="gramStart"/>
            <w:r w:rsidRPr="000E7695">
              <w:rPr>
                <w:rFonts w:ascii="Times New Roman" w:eastAsia="標楷體" w:hAnsi="Times New Roman"/>
                <w:bCs/>
                <w:color w:val="000000" w:themeColor="text1"/>
                <w:szCs w:val="24"/>
              </w:rPr>
              <w:t>費均不加</w:t>
            </w:r>
            <w:proofErr w:type="gramEnd"/>
            <w:r w:rsidRPr="000E7695">
              <w:rPr>
                <w:rFonts w:ascii="Times New Roman" w:eastAsia="標楷體" w:hAnsi="Times New Roman"/>
                <w:bCs/>
                <w:color w:val="000000" w:themeColor="text1"/>
                <w:szCs w:val="24"/>
              </w:rPr>
              <w:t>計利息予以退回；經紀商並應於同日依陸、一、二、三之規定辦理投標處理費解交作業。</w:t>
            </w:r>
          </w:p>
          <w:p w14:paraId="0BEA7BE7" w14:textId="5EDF7960" w:rsidR="00E308A6" w:rsidRPr="000E7695" w:rsidRDefault="00E308A6" w:rsidP="00832997">
            <w:pPr>
              <w:pStyle w:val="a4"/>
              <w:spacing w:before="60" w:after="60" w:line="400" w:lineRule="exact"/>
              <w:jc w:val="both"/>
              <w:rPr>
                <w:rFonts w:ascii="Times New Roman" w:eastAsia="標楷體" w:hAnsi="Times New Roman"/>
                <w:bCs/>
                <w:color w:val="000000" w:themeColor="text1"/>
                <w:szCs w:val="24"/>
              </w:rPr>
            </w:pPr>
            <w:r w:rsidRPr="000E7695">
              <w:rPr>
                <w:rFonts w:ascii="Times New Roman" w:eastAsia="標楷體" w:hAnsi="Times New Roman"/>
                <w:bCs/>
                <w:color w:val="000000" w:themeColor="text1"/>
                <w:szCs w:val="24"/>
              </w:rPr>
              <w:t>（以下略）</w:t>
            </w:r>
          </w:p>
        </w:tc>
        <w:tc>
          <w:tcPr>
            <w:tcW w:w="3405" w:type="dxa"/>
          </w:tcPr>
          <w:p w14:paraId="3C012E69" w14:textId="77777777" w:rsidR="00E308A6" w:rsidRPr="000E7695" w:rsidRDefault="00E308A6" w:rsidP="00832997">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0E7695">
              <w:rPr>
                <w:rFonts w:ascii="Times New Roman" w:eastAsia="標楷體" w:hAnsi="Times New Roman"/>
                <w:bCs/>
                <w:color w:val="000000" w:themeColor="text1"/>
                <w:szCs w:val="24"/>
              </w:rPr>
              <w:lastRenderedPageBreak/>
              <w:t>伍、保證金退款、扣繳價款作業程序：</w:t>
            </w:r>
          </w:p>
          <w:p w14:paraId="145E4BC3" w14:textId="5062195B" w:rsidR="00E308A6" w:rsidRPr="000E7695" w:rsidRDefault="00E308A6" w:rsidP="00832997">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0E7695">
              <w:rPr>
                <w:rFonts w:ascii="Times New Roman" w:eastAsia="標楷體" w:hAnsi="Times New Roman"/>
                <w:bCs/>
                <w:color w:val="000000" w:themeColor="text1"/>
                <w:szCs w:val="24"/>
              </w:rPr>
              <w:t>一、未得標及不合格件保證金退款作業：經紀商應於開標日次一營業日上午十點前，依證交所電腦資料，指示往來銀行將未得標及不合格件之保證金不加計利息予以退回，惟投標處理費不予退回。另已得標之投標人，如發現有不具本辦法第三十五條資格者或有第十三條之情事者，視為不合格件，應辦理已扣</w:t>
            </w:r>
            <w:r w:rsidRPr="000E7695">
              <w:rPr>
                <w:rFonts w:ascii="Times New Roman" w:eastAsia="標楷體" w:hAnsi="Times New Roman"/>
                <w:bCs/>
                <w:color w:val="000000" w:themeColor="text1"/>
                <w:szCs w:val="24"/>
              </w:rPr>
              <w:lastRenderedPageBreak/>
              <w:t>繳投標保證金之退款事宜。</w:t>
            </w:r>
          </w:p>
          <w:p w14:paraId="3DA00D95" w14:textId="5E739AAA" w:rsidR="00E308A6" w:rsidRPr="000E7695" w:rsidRDefault="00E308A6" w:rsidP="00832997">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0E7695">
              <w:rPr>
                <w:rFonts w:ascii="Times New Roman" w:eastAsia="標楷體" w:hAnsi="Times New Roman"/>
                <w:bCs/>
                <w:color w:val="000000" w:themeColor="text1"/>
                <w:szCs w:val="24"/>
              </w:rPr>
              <w:t>二、初次上市</w:t>
            </w:r>
            <w:r w:rsidRPr="000E7695">
              <w:rPr>
                <w:rFonts w:ascii="Times New Roman" w:eastAsia="標楷體" w:hAnsi="Times New Roman"/>
                <w:bCs/>
                <w:color w:val="000000" w:themeColor="text1"/>
                <w:szCs w:val="24"/>
              </w:rPr>
              <w:t>(</w:t>
            </w:r>
            <w:r w:rsidRPr="000E7695">
              <w:rPr>
                <w:rFonts w:ascii="Times New Roman" w:eastAsia="標楷體" w:hAnsi="Times New Roman"/>
                <w:bCs/>
                <w:color w:val="000000" w:themeColor="text1"/>
                <w:szCs w:val="24"/>
              </w:rPr>
              <w:t>櫃</w:t>
            </w:r>
            <w:r w:rsidRPr="000E7695">
              <w:rPr>
                <w:rFonts w:ascii="Times New Roman" w:eastAsia="標楷體" w:hAnsi="Times New Roman"/>
                <w:bCs/>
                <w:color w:val="000000" w:themeColor="text1"/>
                <w:szCs w:val="24"/>
              </w:rPr>
              <w:t>)</w:t>
            </w:r>
            <w:r w:rsidRPr="000E7695">
              <w:rPr>
                <w:rFonts w:ascii="Times New Roman" w:eastAsia="標楷體" w:hAnsi="Times New Roman"/>
                <w:bCs/>
                <w:color w:val="000000" w:themeColor="text1"/>
                <w:szCs w:val="24"/>
              </w:rPr>
              <w:t>案件未完成訂價之退款：</w:t>
            </w:r>
            <w:proofErr w:type="gramStart"/>
            <w:r w:rsidRPr="000E7695">
              <w:rPr>
                <w:rFonts w:ascii="Times New Roman" w:eastAsia="標楷體" w:hAnsi="Times New Roman"/>
                <w:bCs/>
                <w:color w:val="000000" w:themeColor="text1"/>
                <w:szCs w:val="24"/>
              </w:rPr>
              <w:t>採</w:t>
            </w:r>
            <w:proofErr w:type="gramEnd"/>
            <w:r w:rsidRPr="000E7695">
              <w:rPr>
                <w:rFonts w:ascii="Times New Roman" w:eastAsia="標楷體" w:hAnsi="Times New Roman"/>
                <w:bCs/>
                <w:color w:val="000000" w:themeColor="text1"/>
                <w:szCs w:val="24"/>
              </w:rPr>
              <w:t>全數競價拍賣或部分競價拍賣部分公開申購方式辦理者，如因合格標單累計數量未達該次提交競價拍賣之承銷數量，證交所將不辦理開標，經紀商應於投標截止日後次三營業日上午十點前，指示往來銀行將投標人之投標保證金及扣除相關作業費用後之投標處理</w:t>
            </w:r>
            <w:proofErr w:type="gramStart"/>
            <w:r w:rsidRPr="000E7695">
              <w:rPr>
                <w:rFonts w:ascii="Times New Roman" w:eastAsia="標楷體" w:hAnsi="Times New Roman"/>
                <w:bCs/>
                <w:color w:val="000000" w:themeColor="text1"/>
                <w:szCs w:val="24"/>
              </w:rPr>
              <w:t>費均不加</w:t>
            </w:r>
            <w:proofErr w:type="gramEnd"/>
            <w:r w:rsidRPr="000E7695">
              <w:rPr>
                <w:rFonts w:ascii="Times New Roman" w:eastAsia="標楷體" w:hAnsi="Times New Roman"/>
                <w:bCs/>
                <w:color w:val="000000" w:themeColor="text1"/>
                <w:szCs w:val="24"/>
              </w:rPr>
              <w:t>計利息予以退回；經紀商並應於同日依陸、一、二、三之規定辦理投標處理費解交作業。</w:t>
            </w:r>
          </w:p>
        </w:tc>
        <w:tc>
          <w:tcPr>
            <w:tcW w:w="1837" w:type="dxa"/>
          </w:tcPr>
          <w:p w14:paraId="4035DD9A" w14:textId="1AF483EC" w:rsidR="00E308A6" w:rsidRPr="000E7695" w:rsidRDefault="00617843" w:rsidP="00832997">
            <w:pPr>
              <w:pStyle w:val="a4"/>
              <w:spacing w:before="60" w:after="60" w:line="400" w:lineRule="exact"/>
              <w:jc w:val="both"/>
              <w:rPr>
                <w:rFonts w:ascii="Times New Roman" w:eastAsia="標楷體" w:hAnsi="Times New Roman"/>
                <w:bCs/>
                <w:color w:val="000000" w:themeColor="text1"/>
                <w:szCs w:val="24"/>
              </w:rPr>
            </w:pPr>
            <w:r w:rsidRPr="000E7695">
              <w:rPr>
                <w:rFonts w:ascii="Times New Roman" w:eastAsia="標楷體" w:hAnsi="Times New Roman"/>
                <w:bCs/>
                <w:color w:val="000000" w:themeColor="text1"/>
                <w:szCs w:val="24"/>
              </w:rPr>
              <w:lastRenderedPageBreak/>
              <w:t>修正伍、二、，比照初次上市</w:t>
            </w:r>
            <w:r w:rsidRPr="000E7695">
              <w:rPr>
                <w:rFonts w:ascii="Times New Roman" w:eastAsia="標楷體" w:hAnsi="Times New Roman"/>
                <w:bCs/>
                <w:color w:val="000000" w:themeColor="text1"/>
                <w:szCs w:val="24"/>
              </w:rPr>
              <w:t>(</w:t>
            </w:r>
            <w:r w:rsidRPr="000E7695">
              <w:rPr>
                <w:rFonts w:ascii="Times New Roman" w:eastAsia="標楷體" w:hAnsi="Times New Roman"/>
                <w:bCs/>
                <w:color w:val="000000" w:themeColor="text1"/>
                <w:szCs w:val="24"/>
              </w:rPr>
              <w:t>櫃</w:t>
            </w:r>
            <w:r w:rsidRPr="000E7695">
              <w:rPr>
                <w:rFonts w:ascii="Times New Roman" w:eastAsia="標楷體" w:hAnsi="Times New Roman"/>
                <w:bCs/>
                <w:color w:val="000000" w:themeColor="text1"/>
                <w:szCs w:val="24"/>
              </w:rPr>
              <w:t>)</w:t>
            </w:r>
            <w:r w:rsidRPr="000E7695">
              <w:rPr>
                <w:rFonts w:ascii="Times New Roman" w:eastAsia="標楷體" w:hAnsi="Times New Roman"/>
                <w:bCs/>
                <w:color w:val="000000" w:themeColor="text1"/>
                <w:szCs w:val="24"/>
              </w:rPr>
              <w:t>案件之作業，明訂創新板初次上市案件</w:t>
            </w:r>
            <w:r w:rsidR="00B15E8F" w:rsidRPr="000E7695">
              <w:rPr>
                <w:rFonts w:ascii="Times New Roman" w:eastAsia="標楷體" w:hAnsi="Times New Roman"/>
                <w:bCs/>
                <w:color w:val="000000" w:themeColor="text1"/>
                <w:szCs w:val="24"/>
              </w:rPr>
              <w:t>及創新板上市公司轉列上市</w:t>
            </w:r>
            <w:r w:rsidR="00B15E8F" w:rsidRPr="000E7695">
              <w:rPr>
                <w:rFonts w:ascii="Times New Roman" w:eastAsia="標楷體" w:hAnsi="Times New Roman"/>
                <w:bCs/>
                <w:color w:val="000000" w:themeColor="text1"/>
                <w:szCs w:val="24"/>
              </w:rPr>
              <w:t>(</w:t>
            </w:r>
            <w:r w:rsidR="00B15E8F" w:rsidRPr="000E7695">
              <w:rPr>
                <w:rFonts w:ascii="Times New Roman" w:eastAsia="標楷體" w:hAnsi="Times New Roman"/>
                <w:bCs/>
                <w:color w:val="000000" w:themeColor="text1"/>
                <w:szCs w:val="24"/>
              </w:rPr>
              <w:t>櫃</w:t>
            </w:r>
            <w:r w:rsidR="00B15E8F" w:rsidRPr="000E7695">
              <w:rPr>
                <w:rFonts w:ascii="Times New Roman" w:eastAsia="標楷體" w:hAnsi="Times New Roman"/>
                <w:bCs/>
                <w:color w:val="000000" w:themeColor="text1"/>
                <w:szCs w:val="24"/>
              </w:rPr>
              <w:t>)</w:t>
            </w:r>
            <w:r w:rsidR="00B15E8F" w:rsidRPr="000E7695">
              <w:rPr>
                <w:rFonts w:ascii="Times New Roman" w:eastAsia="標楷體" w:hAnsi="Times New Roman"/>
                <w:bCs/>
                <w:color w:val="000000" w:themeColor="text1"/>
                <w:szCs w:val="24"/>
              </w:rPr>
              <w:t>公司承銷案件，</w:t>
            </w:r>
            <w:r w:rsidRPr="000E7695">
              <w:rPr>
                <w:rFonts w:ascii="Times New Roman" w:eastAsia="標楷體" w:hAnsi="Times New Roman"/>
                <w:bCs/>
                <w:color w:val="000000" w:themeColor="text1"/>
                <w:szCs w:val="24"/>
              </w:rPr>
              <w:t>因合格投標單數量不足不辦理開標者，經紀商應辦理退款及解交之作業程序。</w:t>
            </w:r>
          </w:p>
        </w:tc>
      </w:tr>
      <w:tr w:rsidR="00E308A6" w:rsidRPr="00832997" w14:paraId="163B6F14" w14:textId="77777777" w:rsidTr="00B17620">
        <w:trPr>
          <w:trHeight w:val="176"/>
          <w:jc w:val="center"/>
        </w:trPr>
        <w:tc>
          <w:tcPr>
            <w:tcW w:w="3404" w:type="dxa"/>
          </w:tcPr>
          <w:p w14:paraId="4FEB271D" w14:textId="77777777" w:rsidR="00A53FDB" w:rsidRPr="000E7695" w:rsidRDefault="00A53FDB" w:rsidP="00832997">
            <w:pPr>
              <w:pStyle w:val="a4"/>
              <w:spacing w:before="60" w:after="60" w:line="400" w:lineRule="exact"/>
              <w:ind w:left="480" w:hangingChars="200" w:hanging="480"/>
              <w:jc w:val="both"/>
              <w:rPr>
                <w:rFonts w:ascii="Times New Roman" w:eastAsia="標楷體" w:hAnsi="Times New Roman"/>
                <w:bCs/>
                <w:color w:val="000000" w:themeColor="text1"/>
                <w:szCs w:val="24"/>
              </w:rPr>
            </w:pPr>
            <w:proofErr w:type="gramStart"/>
            <w:r w:rsidRPr="000E7695">
              <w:rPr>
                <w:rFonts w:ascii="Times New Roman" w:eastAsia="標楷體" w:hAnsi="Times New Roman"/>
                <w:bCs/>
                <w:color w:val="000000" w:themeColor="text1"/>
                <w:szCs w:val="24"/>
              </w:rPr>
              <w:t>柒</w:t>
            </w:r>
            <w:proofErr w:type="gramEnd"/>
            <w:r w:rsidRPr="000E7695">
              <w:rPr>
                <w:rFonts w:ascii="Times New Roman" w:eastAsia="標楷體" w:hAnsi="Times New Roman"/>
                <w:bCs/>
                <w:color w:val="000000" w:themeColor="text1"/>
                <w:szCs w:val="24"/>
              </w:rPr>
              <w:t>、自營商投標</w:t>
            </w:r>
          </w:p>
          <w:p w14:paraId="0B485A15" w14:textId="77777777" w:rsidR="00A53FDB" w:rsidRPr="000E7695" w:rsidRDefault="00A53FDB" w:rsidP="00832997">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0E7695">
              <w:rPr>
                <w:rFonts w:ascii="Times New Roman" w:eastAsia="標楷體" w:hAnsi="Times New Roman"/>
                <w:bCs/>
                <w:color w:val="000000" w:themeColor="text1"/>
                <w:szCs w:val="24"/>
              </w:rPr>
              <w:t>一、～五、略。</w:t>
            </w:r>
          </w:p>
          <w:p w14:paraId="2C5805B6" w14:textId="1BF87444" w:rsidR="00E308A6" w:rsidRPr="000E7695" w:rsidRDefault="00A53FDB" w:rsidP="00832997">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0E7695">
              <w:rPr>
                <w:rFonts w:ascii="Times New Roman" w:eastAsia="標楷體" w:hAnsi="Times New Roman"/>
                <w:bCs/>
                <w:color w:val="000000" w:themeColor="text1"/>
                <w:szCs w:val="24"/>
              </w:rPr>
              <w:t>六、初次上市</w:t>
            </w:r>
            <w:r w:rsidRPr="000E7695">
              <w:rPr>
                <w:rFonts w:ascii="Times New Roman" w:eastAsia="標楷體" w:hAnsi="Times New Roman"/>
                <w:bCs/>
                <w:color w:val="000000" w:themeColor="text1"/>
                <w:szCs w:val="24"/>
              </w:rPr>
              <w:t>(</w:t>
            </w:r>
            <w:r w:rsidRPr="000E7695">
              <w:rPr>
                <w:rFonts w:ascii="Times New Roman" w:eastAsia="標楷體" w:hAnsi="Times New Roman"/>
                <w:bCs/>
                <w:color w:val="000000" w:themeColor="text1"/>
                <w:szCs w:val="24"/>
              </w:rPr>
              <w:t>櫃</w:t>
            </w:r>
            <w:r w:rsidRPr="000E7695">
              <w:rPr>
                <w:rFonts w:ascii="Times New Roman" w:eastAsia="標楷體" w:hAnsi="Times New Roman"/>
                <w:bCs/>
                <w:color w:val="000000" w:themeColor="text1"/>
                <w:szCs w:val="24"/>
              </w:rPr>
              <w:t>)</w:t>
            </w:r>
            <w:r w:rsidRPr="000E7695">
              <w:rPr>
                <w:rFonts w:ascii="Times New Roman" w:eastAsia="標楷體" w:hAnsi="Times New Roman"/>
                <w:bCs/>
                <w:color w:val="000000" w:themeColor="text1"/>
                <w:szCs w:val="24"/>
              </w:rPr>
              <w:t>案件</w:t>
            </w:r>
            <w:r w:rsidRPr="000E7695">
              <w:rPr>
                <w:rFonts w:ascii="Times New Roman" w:eastAsia="標楷體" w:hAnsi="Times New Roman"/>
                <w:b/>
                <w:color w:val="000000" w:themeColor="text1"/>
                <w:szCs w:val="24"/>
                <w:u w:val="single"/>
              </w:rPr>
              <w:t>、股票申請創新板初次上市案件</w:t>
            </w:r>
            <w:r w:rsidR="001A74FA" w:rsidRPr="000E7695">
              <w:rPr>
                <w:rFonts w:ascii="Times New Roman" w:eastAsia="標楷體" w:hAnsi="Times New Roman"/>
                <w:b/>
                <w:color w:val="000000" w:themeColor="text1"/>
                <w:szCs w:val="24"/>
                <w:u w:val="single"/>
              </w:rPr>
              <w:t>及創新板上市公司轉列上市</w:t>
            </w:r>
            <w:r w:rsidR="001A74FA" w:rsidRPr="000E7695">
              <w:rPr>
                <w:rFonts w:ascii="Times New Roman" w:eastAsia="標楷體" w:hAnsi="Times New Roman"/>
                <w:b/>
                <w:color w:val="000000" w:themeColor="text1"/>
                <w:szCs w:val="24"/>
                <w:u w:val="single"/>
              </w:rPr>
              <w:t>(</w:t>
            </w:r>
            <w:r w:rsidR="001A74FA" w:rsidRPr="000E7695">
              <w:rPr>
                <w:rFonts w:ascii="Times New Roman" w:eastAsia="標楷體" w:hAnsi="Times New Roman"/>
                <w:b/>
                <w:color w:val="000000" w:themeColor="text1"/>
                <w:szCs w:val="24"/>
                <w:u w:val="single"/>
              </w:rPr>
              <w:t>櫃</w:t>
            </w:r>
            <w:r w:rsidR="001A74FA" w:rsidRPr="000E7695">
              <w:rPr>
                <w:rFonts w:ascii="Times New Roman" w:eastAsia="標楷體" w:hAnsi="Times New Roman"/>
                <w:b/>
                <w:color w:val="000000" w:themeColor="text1"/>
                <w:szCs w:val="24"/>
                <w:u w:val="single"/>
              </w:rPr>
              <w:t>)</w:t>
            </w:r>
            <w:r w:rsidR="001A74FA" w:rsidRPr="000E7695">
              <w:rPr>
                <w:rFonts w:ascii="Times New Roman" w:eastAsia="標楷體" w:hAnsi="Times New Roman"/>
                <w:b/>
                <w:color w:val="000000" w:themeColor="text1"/>
                <w:szCs w:val="24"/>
                <w:u w:val="single"/>
              </w:rPr>
              <w:t>公司承銷案件</w:t>
            </w:r>
            <w:r w:rsidRPr="000E7695">
              <w:rPr>
                <w:rFonts w:ascii="Times New Roman" w:eastAsia="標楷體" w:hAnsi="Times New Roman"/>
                <w:bCs/>
                <w:color w:val="000000" w:themeColor="text1"/>
                <w:szCs w:val="24"/>
              </w:rPr>
              <w:t>未完成訂價之退款：</w:t>
            </w:r>
            <w:proofErr w:type="gramStart"/>
            <w:r w:rsidRPr="000E7695">
              <w:rPr>
                <w:rFonts w:ascii="Times New Roman" w:eastAsia="標楷體" w:hAnsi="Times New Roman"/>
                <w:bCs/>
                <w:color w:val="000000" w:themeColor="text1"/>
                <w:szCs w:val="24"/>
              </w:rPr>
              <w:t>採</w:t>
            </w:r>
            <w:proofErr w:type="gramEnd"/>
            <w:r w:rsidRPr="000E7695">
              <w:rPr>
                <w:rFonts w:ascii="Times New Roman" w:eastAsia="標楷體" w:hAnsi="Times New Roman"/>
                <w:bCs/>
                <w:color w:val="000000" w:themeColor="text1"/>
                <w:szCs w:val="24"/>
              </w:rPr>
              <w:t>全數競價拍賣或部分競價拍賣部分公開申購方式辦理者，如因合格標單累計數量未達該次提交競價拍賣之承銷</w:t>
            </w:r>
            <w:r w:rsidRPr="000E7695">
              <w:rPr>
                <w:rFonts w:ascii="Times New Roman" w:eastAsia="標楷體" w:hAnsi="Times New Roman"/>
                <w:bCs/>
                <w:color w:val="000000" w:themeColor="text1"/>
                <w:szCs w:val="24"/>
              </w:rPr>
              <w:lastRenderedPageBreak/>
              <w:t>數量，證交所將不辦理開標，並於投標截止日次三營業日銀行時間內，指示往來銀行將投標人之投標保證金及扣除相關作業費用後之投標處理費，於扣除匯費</w:t>
            </w:r>
            <w:proofErr w:type="gramStart"/>
            <w:r w:rsidRPr="000E7695">
              <w:rPr>
                <w:rFonts w:ascii="Times New Roman" w:eastAsia="標楷體" w:hAnsi="Times New Roman"/>
                <w:bCs/>
                <w:color w:val="000000" w:themeColor="text1"/>
                <w:szCs w:val="24"/>
              </w:rPr>
              <w:t>後均不加</w:t>
            </w:r>
            <w:proofErr w:type="gramEnd"/>
            <w:r w:rsidRPr="000E7695">
              <w:rPr>
                <w:rFonts w:ascii="Times New Roman" w:eastAsia="標楷體" w:hAnsi="Times New Roman"/>
                <w:bCs/>
                <w:color w:val="000000" w:themeColor="text1"/>
                <w:szCs w:val="24"/>
              </w:rPr>
              <w:t>計利息予以退回。</w:t>
            </w:r>
          </w:p>
          <w:p w14:paraId="170EE0E1" w14:textId="4FA1BBA7" w:rsidR="00A53FDB" w:rsidRPr="000E7695" w:rsidRDefault="00A53FDB" w:rsidP="00832997">
            <w:pPr>
              <w:pStyle w:val="a4"/>
              <w:spacing w:before="60" w:after="60" w:line="400" w:lineRule="exact"/>
              <w:jc w:val="both"/>
              <w:rPr>
                <w:rFonts w:ascii="Times New Roman" w:eastAsia="標楷體" w:hAnsi="Times New Roman"/>
                <w:bCs/>
                <w:color w:val="000000" w:themeColor="text1"/>
                <w:szCs w:val="24"/>
              </w:rPr>
            </w:pPr>
            <w:r w:rsidRPr="000E7695">
              <w:rPr>
                <w:rFonts w:ascii="Times New Roman" w:eastAsia="標楷體" w:hAnsi="Times New Roman"/>
                <w:bCs/>
                <w:color w:val="000000" w:themeColor="text1"/>
                <w:szCs w:val="24"/>
              </w:rPr>
              <w:t>（以下略）</w:t>
            </w:r>
          </w:p>
        </w:tc>
        <w:tc>
          <w:tcPr>
            <w:tcW w:w="3405" w:type="dxa"/>
          </w:tcPr>
          <w:p w14:paraId="01788E33" w14:textId="77777777" w:rsidR="00E308A6" w:rsidRPr="000E7695" w:rsidRDefault="00A53FDB" w:rsidP="00832997">
            <w:pPr>
              <w:pStyle w:val="a4"/>
              <w:spacing w:before="60" w:after="60" w:line="400" w:lineRule="exact"/>
              <w:ind w:left="480" w:hangingChars="200" w:hanging="480"/>
              <w:jc w:val="both"/>
              <w:rPr>
                <w:rFonts w:ascii="Times New Roman" w:eastAsia="標楷體" w:hAnsi="Times New Roman"/>
                <w:bCs/>
                <w:color w:val="000000" w:themeColor="text1"/>
                <w:szCs w:val="24"/>
              </w:rPr>
            </w:pPr>
            <w:proofErr w:type="gramStart"/>
            <w:r w:rsidRPr="000E7695">
              <w:rPr>
                <w:rFonts w:ascii="Times New Roman" w:eastAsia="標楷體" w:hAnsi="Times New Roman"/>
                <w:bCs/>
                <w:color w:val="000000" w:themeColor="text1"/>
                <w:szCs w:val="24"/>
              </w:rPr>
              <w:lastRenderedPageBreak/>
              <w:t>柒</w:t>
            </w:r>
            <w:proofErr w:type="gramEnd"/>
            <w:r w:rsidRPr="000E7695">
              <w:rPr>
                <w:rFonts w:ascii="Times New Roman" w:eastAsia="標楷體" w:hAnsi="Times New Roman"/>
                <w:bCs/>
                <w:color w:val="000000" w:themeColor="text1"/>
                <w:szCs w:val="24"/>
              </w:rPr>
              <w:t>、自營商投標</w:t>
            </w:r>
          </w:p>
          <w:p w14:paraId="50B1CBF1" w14:textId="158703ED" w:rsidR="00A53FDB" w:rsidRPr="000E7695" w:rsidRDefault="00A53FDB" w:rsidP="00832997">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0E7695">
              <w:rPr>
                <w:rFonts w:ascii="Times New Roman" w:eastAsia="標楷體" w:hAnsi="Times New Roman"/>
                <w:bCs/>
                <w:color w:val="000000" w:themeColor="text1"/>
                <w:szCs w:val="24"/>
              </w:rPr>
              <w:t>一、～五、略。</w:t>
            </w:r>
          </w:p>
          <w:p w14:paraId="30D5CBE4" w14:textId="351B8A10" w:rsidR="00A53FDB" w:rsidRPr="000E7695" w:rsidRDefault="00A53FDB" w:rsidP="00832997">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0E7695">
              <w:rPr>
                <w:rFonts w:ascii="Times New Roman" w:eastAsia="標楷體" w:hAnsi="Times New Roman"/>
                <w:bCs/>
                <w:color w:val="000000" w:themeColor="text1"/>
                <w:szCs w:val="24"/>
              </w:rPr>
              <w:t>六、初次上市</w:t>
            </w:r>
            <w:r w:rsidRPr="000E7695">
              <w:rPr>
                <w:rFonts w:ascii="Times New Roman" w:eastAsia="標楷體" w:hAnsi="Times New Roman"/>
                <w:bCs/>
                <w:color w:val="000000" w:themeColor="text1"/>
                <w:szCs w:val="24"/>
              </w:rPr>
              <w:t>(</w:t>
            </w:r>
            <w:r w:rsidRPr="000E7695">
              <w:rPr>
                <w:rFonts w:ascii="Times New Roman" w:eastAsia="標楷體" w:hAnsi="Times New Roman"/>
                <w:bCs/>
                <w:color w:val="000000" w:themeColor="text1"/>
                <w:szCs w:val="24"/>
              </w:rPr>
              <w:t>櫃</w:t>
            </w:r>
            <w:r w:rsidRPr="000E7695">
              <w:rPr>
                <w:rFonts w:ascii="Times New Roman" w:eastAsia="標楷體" w:hAnsi="Times New Roman"/>
                <w:bCs/>
                <w:color w:val="000000" w:themeColor="text1"/>
                <w:szCs w:val="24"/>
              </w:rPr>
              <w:t>)</w:t>
            </w:r>
            <w:r w:rsidRPr="000E7695">
              <w:rPr>
                <w:rFonts w:ascii="Times New Roman" w:eastAsia="標楷體" w:hAnsi="Times New Roman"/>
                <w:bCs/>
                <w:color w:val="000000" w:themeColor="text1"/>
                <w:szCs w:val="24"/>
              </w:rPr>
              <w:t>案件未完成訂價之退款：</w:t>
            </w:r>
            <w:proofErr w:type="gramStart"/>
            <w:r w:rsidRPr="000E7695">
              <w:rPr>
                <w:rFonts w:ascii="Times New Roman" w:eastAsia="標楷體" w:hAnsi="Times New Roman"/>
                <w:bCs/>
                <w:color w:val="000000" w:themeColor="text1"/>
                <w:szCs w:val="24"/>
              </w:rPr>
              <w:t>採</w:t>
            </w:r>
            <w:proofErr w:type="gramEnd"/>
            <w:r w:rsidRPr="000E7695">
              <w:rPr>
                <w:rFonts w:ascii="Times New Roman" w:eastAsia="標楷體" w:hAnsi="Times New Roman"/>
                <w:bCs/>
                <w:color w:val="000000" w:themeColor="text1"/>
                <w:szCs w:val="24"/>
              </w:rPr>
              <w:t>全數競價拍賣或部分競價拍賣部分公開申購方式辦理者，如因合格標單累計數量未達該次提交競價拍賣之承銷數量，證交所將不辦理開標，並於投標截止日次三營業日銀行時間內，指示往來</w:t>
            </w:r>
            <w:r w:rsidRPr="000E7695">
              <w:rPr>
                <w:rFonts w:ascii="Times New Roman" w:eastAsia="標楷體" w:hAnsi="Times New Roman"/>
                <w:bCs/>
                <w:color w:val="000000" w:themeColor="text1"/>
                <w:szCs w:val="24"/>
              </w:rPr>
              <w:lastRenderedPageBreak/>
              <w:t>銀行將投標人之投標保證金及扣除相關作業費用後之投標處理費，於扣除匯費</w:t>
            </w:r>
            <w:proofErr w:type="gramStart"/>
            <w:r w:rsidRPr="000E7695">
              <w:rPr>
                <w:rFonts w:ascii="Times New Roman" w:eastAsia="標楷體" w:hAnsi="Times New Roman"/>
                <w:bCs/>
                <w:color w:val="000000" w:themeColor="text1"/>
                <w:szCs w:val="24"/>
              </w:rPr>
              <w:t>後均不加</w:t>
            </w:r>
            <w:proofErr w:type="gramEnd"/>
            <w:r w:rsidRPr="000E7695">
              <w:rPr>
                <w:rFonts w:ascii="Times New Roman" w:eastAsia="標楷體" w:hAnsi="Times New Roman"/>
                <w:bCs/>
                <w:color w:val="000000" w:themeColor="text1"/>
                <w:szCs w:val="24"/>
              </w:rPr>
              <w:t>計利息予以退回。</w:t>
            </w:r>
          </w:p>
        </w:tc>
        <w:tc>
          <w:tcPr>
            <w:tcW w:w="1837" w:type="dxa"/>
          </w:tcPr>
          <w:p w14:paraId="14FBAD7E" w14:textId="20DEB5F2" w:rsidR="00E308A6" w:rsidRPr="000E7695" w:rsidRDefault="00617843" w:rsidP="00832997">
            <w:pPr>
              <w:pStyle w:val="a4"/>
              <w:spacing w:before="60" w:after="60" w:line="400" w:lineRule="exact"/>
              <w:jc w:val="both"/>
              <w:rPr>
                <w:rFonts w:ascii="Times New Roman" w:eastAsia="標楷體" w:hAnsi="Times New Roman"/>
                <w:bCs/>
                <w:color w:val="000000" w:themeColor="text1"/>
                <w:szCs w:val="24"/>
              </w:rPr>
            </w:pPr>
            <w:proofErr w:type="gramStart"/>
            <w:r w:rsidRPr="000E7695">
              <w:rPr>
                <w:rFonts w:ascii="Times New Roman" w:eastAsia="標楷體" w:hAnsi="Times New Roman"/>
                <w:bCs/>
                <w:color w:val="000000" w:themeColor="text1"/>
                <w:szCs w:val="24"/>
              </w:rPr>
              <w:lastRenderedPageBreak/>
              <w:t>同伍</w:t>
            </w:r>
            <w:proofErr w:type="gramEnd"/>
            <w:r w:rsidRPr="000E7695">
              <w:rPr>
                <w:rFonts w:ascii="Times New Roman" w:eastAsia="標楷體" w:hAnsi="Times New Roman"/>
                <w:bCs/>
                <w:color w:val="000000" w:themeColor="text1"/>
                <w:szCs w:val="24"/>
              </w:rPr>
              <w:t>、二、修正說明。</w:t>
            </w:r>
          </w:p>
        </w:tc>
      </w:tr>
    </w:tbl>
    <w:p w14:paraId="585EF688" w14:textId="77777777" w:rsidR="0087558F" w:rsidRPr="004826C6" w:rsidRDefault="0087558F"/>
    <w:sectPr w:rsidR="0087558F" w:rsidRPr="004826C6" w:rsidSect="00832997">
      <w:footerReference w:type="default" r:id="rId8"/>
      <w:pgSz w:w="11906" w:h="16838"/>
      <w:pgMar w:top="1440" w:right="1800" w:bottom="1440" w:left="1800"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B2699" w14:textId="77777777" w:rsidR="006550F9" w:rsidRDefault="006550F9" w:rsidP="009F5227">
      <w:r>
        <w:separator/>
      </w:r>
    </w:p>
  </w:endnote>
  <w:endnote w:type="continuationSeparator" w:id="0">
    <w:p w14:paraId="599AABBC" w14:textId="77777777" w:rsidR="006550F9" w:rsidRDefault="006550F9" w:rsidP="009F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052021"/>
      <w:docPartObj>
        <w:docPartGallery w:val="Page Numbers (Bottom of Page)"/>
        <w:docPartUnique/>
      </w:docPartObj>
    </w:sdtPr>
    <w:sdtEndPr>
      <w:rPr>
        <w:sz w:val="24"/>
        <w:szCs w:val="24"/>
      </w:rPr>
    </w:sdtEndPr>
    <w:sdtContent>
      <w:p w14:paraId="0AAE074A" w14:textId="3EA0CFAA" w:rsidR="008F34B9" w:rsidRPr="008F34B9" w:rsidRDefault="008F34B9">
        <w:pPr>
          <w:pStyle w:val="aa"/>
          <w:jc w:val="center"/>
          <w:rPr>
            <w:sz w:val="24"/>
            <w:szCs w:val="24"/>
          </w:rPr>
        </w:pPr>
        <w:r w:rsidRPr="008F34B9">
          <w:rPr>
            <w:sz w:val="24"/>
            <w:szCs w:val="24"/>
          </w:rPr>
          <w:fldChar w:fldCharType="begin"/>
        </w:r>
        <w:r w:rsidRPr="008F34B9">
          <w:rPr>
            <w:sz w:val="24"/>
            <w:szCs w:val="24"/>
          </w:rPr>
          <w:instrText>PAGE   \* MERGEFORMAT</w:instrText>
        </w:r>
        <w:r w:rsidRPr="008F34B9">
          <w:rPr>
            <w:sz w:val="24"/>
            <w:szCs w:val="24"/>
          </w:rPr>
          <w:fldChar w:fldCharType="separate"/>
        </w:r>
        <w:r w:rsidRPr="008F34B9">
          <w:rPr>
            <w:sz w:val="24"/>
            <w:szCs w:val="24"/>
            <w:lang w:val="zh-TW"/>
          </w:rPr>
          <w:t>2</w:t>
        </w:r>
        <w:r w:rsidRPr="008F34B9">
          <w:rPr>
            <w:sz w:val="24"/>
            <w:szCs w:val="24"/>
          </w:rPr>
          <w:fldChar w:fldCharType="end"/>
        </w:r>
      </w:p>
    </w:sdtContent>
  </w:sdt>
  <w:p w14:paraId="14311895" w14:textId="77777777" w:rsidR="009F5227" w:rsidRDefault="009F522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84DCF" w14:textId="77777777" w:rsidR="006550F9" w:rsidRDefault="006550F9" w:rsidP="009F5227">
      <w:r>
        <w:separator/>
      </w:r>
    </w:p>
  </w:footnote>
  <w:footnote w:type="continuationSeparator" w:id="0">
    <w:p w14:paraId="5207DBED" w14:textId="77777777" w:rsidR="006550F9" w:rsidRDefault="006550F9" w:rsidP="009F5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4250"/>
    <w:multiLevelType w:val="hybridMultilevel"/>
    <w:tmpl w:val="B1A6C3C6"/>
    <w:lvl w:ilvl="0" w:tplc="0F6C1ECC">
      <w:start w:val="1"/>
      <w:numFmt w:val="taiwaneseCountingThousand"/>
      <w:suff w:val="nothing"/>
      <w:lvlText w:val="%1、"/>
      <w:lvlJc w:val="left"/>
      <w:pPr>
        <w:ind w:left="480" w:hanging="480"/>
      </w:pPr>
      <w:rPr>
        <w:rFonts w:hint="default"/>
      </w:rPr>
    </w:lvl>
    <w:lvl w:ilvl="1" w:tplc="04090019">
      <w:start w:val="1"/>
      <w:numFmt w:val="ideographTraditional"/>
      <w:lvlText w:val="%2、"/>
      <w:lvlJc w:val="left"/>
      <w:pPr>
        <w:ind w:left="960" w:hanging="480"/>
      </w:pPr>
    </w:lvl>
    <w:lvl w:ilvl="2" w:tplc="C2CA74FE">
      <w:start w:val="1"/>
      <w:numFmt w:val="taiwaneseCountingThousand"/>
      <w:suff w:val="nothing"/>
      <w:lvlText w:val="（%3）"/>
      <w:lvlJc w:val="left"/>
      <w:pPr>
        <w:ind w:left="2564"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A20DA5"/>
    <w:multiLevelType w:val="singleLevel"/>
    <w:tmpl w:val="93269A6A"/>
    <w:lvl w:ilvl="0">
      <w:start w:val="51"/>
      <w:numFmt w:val="taiwaneseCountingThousand"/>
      <w:lvlText w:val="第%1條"/>
      <w:lvlJc w:val="left"/>
      <w:pPr>
        <w:tabs>
          <w:tab w:val="num" w:pos="1446"/>
        </w:tabs>
        <w:ind w:left="1446" w:hanging="1446"/>
      </w:pPr>
      <w:rPr>
        <w:rFonts w:hint="eastAsia"/>
      </w:rPr>
    </w:lvl>
  </w:abstractNum>
  <w:abstractNum w:abstractNumId="2" w15:restartNumberingAfterBreak="0">
    <w:nsid w:val="2CC70A34"/>
    <w:multiLevelType w:val="singleLevel"/>
    <w:tmpl w:val="2E0C0428"/>
    <w:lvl w:ilvl="0">
      <w:start w:val="44"/>
      <w:numFmt w:val="taiwaneseCountingThousand"/>
      <w:lvlText w:val="第%1條"/>
      <w:lvlJc w:val="left"/>
      <w:pPr>
        <w:tabs>
          <w:tab w:val="num" w:pos="1440"/>
        </w:tabs>
        <w:ind w:left="1440" w:hanging="1440"/>
      </w:pPr>
      <w:rPr>
        <w:rFonts w:hint="eastAsia"/>
      </w:rPr>
    </w:lvl>
  </w:abstractNum>
  <w:abstractNum w:abstractNumId="3" w15:restartNumberingAfterBreak="0">
    <w:nsid w:val="52927DA0"/>
    <w:multiLevelType w:val="hybridMultilevel"/>
    <w:tmpl w:val="65A27188"/>
    <w:lvl w:ilvl="0" w:tplc="5CBC14E2">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57F33E26"/>
    <w:multiLevelType w:val="hybridMultilevel"/>
    <w:tmpl w:val="3A9273C6"/>
    <w:lvl w:ilvl="0" w:tplc="8D4E65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FDE0F3F"/>
    <w:multiLevelType w:val="singleLevel"/>
    <w:tmpl w:val="28468138"/>
    <w:lvl w:ilvl="0">
      <w:start w:val="1"/>
      <w:numFmt w:val="taiwaneseCountingThousand"/>
      <w:lvlText w:val="（%1）"/>
      <w:lvlJc w:val="left"/>
      <w:pPr>
        <w:tabs>
          <w:tab w:val="num" w:pos="2252"/>
        </w:tabs>
        <w:ind w:left="2252" w:hanging="720"/>
      </w:pPr>
      <w:rPr>
        <w:rFonts w:hint="eastAsia"/>
        <w:sz w:val="24"/>
      </w:rPr>
    </w:lvl>
  </w:abstractNum>
  <w:abstractNum w:abstractNumId="6" w15:restartNumberingAfterBreak="0">
    <w:nsid w:val="61831A07"/>
    <w:multiLevelType w:val="hybridMultilevel"/>
    <w:tmpl w:val="642083A2"/>
    <w:lvl w:ilvl="0" w:tplc="C088CE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73456192">
    <w:abstractNumId w:val="3"/>
  </w:num>
  <w:num w:numId="2" w16cid:durableId="1296107678">
    <w:abstractNumId w:val="5"/>
  </w:num>
  <w:num w:numId="3" w16cid:durableId="171536017">
    <w:abstractNumId w:val="2"/>
  </w:num>
  <w:num w:numId="4" w16cid:durableId="1149709576">
    <w:abstractNumId w:val="1"/>
  </w:num>
  <w:num w:numId="5" w16cid:durableId="293759835">
    <w:abstractNumId w:val="4"/>
  </w:num>
  <w:num w:numId="6" w16cid:durableId="827480145">
    <w:abstractNumId w:val="6"/>
  </w:num>
  <w:num w:numId="7" w16cid:durableId="1563909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8F"/>
    <w:rsid w:val="0002424E"/>
    <w:rsid w:val="00024928"/>
    <w:rsid w:val="000615E1"/>
    <w:rsid w:val="000737C6"/>
    <w:rsid w:val="000D7F34"/>
    <w:rsid w:val="000E7695"/>
    <w:rsid w:val="000F2B08"/>
    <w:rsid w:val="00133D66"/>
    <w:rsid w:val="001474A6"/>
    <w:rsid w:val="00147FFC"/>
    <w:rsid w:val="00176CCA"/>
    <w:rsid w:val="001A6F09"/>
    <w:rsid w:val="001A74FA"/>
    <w:rsid w:val="001B5FD5"/>
    <w:rsid w:val="001F1ADA"/>
    <w:rsid w:val="00223E46"/>
    <w:rsid w:val="00225FB7"/>
    <w:rsid w:val="0024080E"/>
    <w:rsid w:val="00244985"/>
    <w:rsid w:val="0025793F"/>
    <w:rsid w:val="002626CB"/>
    <w:rsid w:val="00270E24"/>
    <w:rsid w:val="002A1649"/>
    <w:rsid w:val="002A2AC3"/>
    <w:rsid w:val="002D23D9"/>
    <w:rsid w:val="00302521"/>
    <w:rsid w:val="00324B61"/>
    <w:rsid w:val="00333505"/>
    <w:rsid w:val="00341C70"/>
    <w:rsid w:val="00347AE0"/>
    <w:rsid w:val="00375AFA"/>
    <w:rsid w:val="00376960"/>
    <w:rsid w:val="003B6118"/>
    <w:rsid w:val="003D5122"/>
    <w:rsid w:val="00422116"/>
    <w:rsid w:val="00445316"/>
    <w:rsid w:val="00447EF7"/>
    <w:rsid w:val="004775FB"/>
    <w:rsid w:val="004826C6"/>
    <w:rsid w:val="004845A1"/>
    <w:rsid w:val="004A279F"/>
    <w:rsid w:val="004A5D0D"/>
    <w:rsid w:val="004B02F5"/>
    <w:rsid w:val="004B0E72"/>
    <w:rsid w:val="004C5C12"/>
    <w:rsid w:val="004C764B"/>
    <w:rsid w:val="004D6754"/>
    <w:rsid w:val="004E0554"/>
    <w:rsid w:val="004E334F"/>
    <w:rsid w:val="005211CC"/>
    <w:rsid w:val="00524FF5"/>
    <w:rsid w:val="005329E2"/>
    <w:rsid w:val="00541070"/>
    <w:rsid w:val="00555970"/>
    <w:rsid w:val="005864A0"/>
    <w:rsid w:val="005B3784"/>
    <w:rsid w:val="00607CDD"/>
    <w:rsid w:val="00617843"/>
    <w:rsid w:val="0062171B"/>
    <w:rsid w:val="00650C2D"/>
    <w:rsid w:val="006550F9"/>
    <w:rsid w:val="00656EA1"/>
    <w:rsid w:val="006730DF"/>
    <w:rsid w:val="006963CE"/>
    <w:rsid w:val="006C54B5"/>
    <w:rsid w:val="006D0C55"/>
    <w:rsid w:val="006F24C9"/>
    <w:rsid w:val="006F4EC2"/>
    <w:rsid w:val="007035D8"/>
    <w:rsid w:val="0070415E"/>
    <w:rsid w:val="00714760"/>
    <w:rsid w:val="00722157"/>
    <w:rsid w:val="00724D23"/>
    <w:rsid w:val="00745955"/>
    <w:rsid w:val="00751E13"/>
    <w:rsid w:val="00776C51"/>
    <w:rsid w:val="007F7F4E"/>
    <w:rsid w:val="008108CF"/>
    <w:rsid w:val="008237F8"/>
    <w:rsid w:val="00832997"/>
    <w:rsid w:val="0086580F"/>
    <w:rsid w:val="0087558F"/>
    <w:rsid w:val="00885D70"/>
    <w:rsid w:val="00891EB1"/>
    <w:rsid w:val="008A20B0"/>
    <w:rsid w:val="008F34B9"/>
    <w:rsid w:val="008F4619"/>
    <w:rsid w:val="008F74CA"/>
    <w:rsid w:val="00917301"/>
    <w:rsid w:val="00982551"/>
    <w:rsid w:val="009B5CF5"/>
    <w:rsid w:val="009D66CD"/>
    <w:rsid w:val="009E6663"/>
    <w:rsid w:val="009F5227"/>
    <w:rsid w:val="00A06B51"/>
    <w:rsid w:val="00A160B6"/>
    <w:rsid w:val="00A42788"/>
    <w:rsid w:val="00A53FDB"/>
    <w:rsid w:val="00A54CFE"/>
    <w:rsid w:val="00A564D2"/>
    <w:rsid w:val="00AC13B1"/>
    <w:rsid w:val="00AF3D35"/>
    <w:rsid w:val="00B15E8F"/>
    <w:rsid w:val="00B17620"/>
    <w:rsid w:val="00B4139A"/>
    <w:rsid w:val="00B41D4D"/>
    <w:rsid w:val="00B459CF"/>
    <w:rsid w:val="00B57ED5"/>
    <w:rsid w:val="00BA5158"/>
    <w:rsid w:val="00BB12AD"/>
    <w:rsid w:val="00BB4AAA"/>
    <w:rsid w:val="00BE749C"/>
    <w:rsid w:val="00C105A9"/>
    <w:rsid w:val="00C17218"/>
    <w:rsid w:val="00C302F6"/>
    <w:rsid w:val="00C53D00"/>
    <w:rsid w:val="00C56E76"/>
    <w:rsid w:val="00CF47D6"/>
    <w:rsid w:val="00D03BD5"/>
    <w:rsid w:val="00D25C6C"/>
    <w:rsid w:val="00D30B6F"/>
    <w:rsid w:val="00D608EC"/>
    <w:rsid w:val="00D7520C"/>
    <w:rsid w:val="00D90F7A"/>
    <w:rsid w:val="00DB07E7"/>
    <w:rsid w:val="00DD5F9F"/>
    <w:rsid w:val="00DD7002"/>
    <w:rsid w:val="00DE3490"/>
    <w:rsid w:val="00E13DE2"/>
    <w:rsid w:val="00E25120"/>
    <w:rsid w:val="00E308A6"/>
    <w:rsid w:val="00E61482"/>
    <w:rsid w:val="00E61FA7"/>
    <w:rsid w:val="00E63003"/>
    <w:rsid w:val="00E66E22"/>
    <w:rsid w:val="00E718C3"/>
    <w:rsid w:val="00EC58CD"/>
    <w:rsid w:val="00ED3EB8"/>
    <w:rsid w:val="00ED7483"/>
    <w:rsid w:val="00F12561"/>
    <w:rsid w:val="00F36188"/>
    <w:rsid w:val="00F835F5"/>
    <w:rsid w:val="00F84712"/>
    <w:rsid w:val="00FB05C2"/>
    <w:rsid w:val="00FC30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F2096"/>
  <w15:chartTrackingRefBased/>
  <w15:docId w15:val="{F553D0D7-0A51-4862-945E-99C28CCC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58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87558F"/>
    <w:rPr>
      <w:rFonts w:ascii="細明體" w:eastAsia="細明體" w:hAnsi="Courier New" w:cs="Times New Roman"/>
      <w:szCs w:val="20"/>
    </w:rPr>
  </w:style>
  <w:style w:type="character" w:customStyle="1" w:styleId="a5">
    <w:name w:val="純文字 字元"/>
    <w:basedOn w:val="a0"/>
    <w:link w:val="a4"/>
    <w:rsid w:val="0087558F"/>
    <w:rPr>
      <w:rFonts w:ascii="細明體" w:eastAsia="細明體" w:hAnsi="Courier New" w:cs="Times New Roman"/>
      <w:szCs w:val="20"/>
    </w:rPr>
  </w:style>
  <w:style w:type="paragraph" w:styleId="a6">
    <w:name w:val="Block Text"/>
    <w:basedOn w:val="a"/>
    <w:semiHidden/>
    <w:rsid w:val="00C17218"/>
    <w:pPr>
      <w:spacing w:before="40" w:line="280" w:lineRule="exact"/>
      <w:ind w:left="510" w:right="28" w:hanging="397"/>
    </w:pPr>
    <w:rPr>
      <w:rFonts w:ascii="Times New Roman" w:eastAsia="細明體" w:hAnsi="Times New Roman" w:cs="Times New Roman"/>
      <w:sz w:val="22"/>
      <w:szCs w:val="20"/>
    </w:rPr>
  </w:style>
  <w:style w:type="paragraph" w:styleId="a7">
    <w:name w:val="List Paragraph"/>
    <w:basedOn w:val="a"/>
    <w:uiPriority w:val="34"/>
    <w:qFormat/>
    <w:rsid w:val="00176CCA"/>
    <w:pPr>
      <w:ind w:leftChars="200" w:left="480"/>
    </w:pPr>
  </w:style>
  <w:style w:type="paragraph" w:customStyle="1" w:styleId="1">
    <w:name w:val="樣式1"/>
    <w:basedOn w:val="a4"/>
    <w:rsid w:val="00D30B6F"/>
    <w:pPr>
      <w:spacing w:line="400" w:lineRule="exact"/>
      <w:ind w:left="1928" w:hanging="482"/>
    </w:pPr>
    <w:rPr>
      <w:rFonts w:ascii="Arial" w:hAnsi="Arial"/>
      <w:color w:val="000000"/>
    </w:rPr>
  </w:style>
  <w:style w:type="paragraph" w:customStyle="1" w:styleId="2">
    <w:name w:val="樣式2"/>
    <w:basedOn w:val="1"/>
    <w:rsid w:val="005B3784"/>
    <w:pPr>
      <w:spacing w:line="320" w:lineRule="exact"/>
      <w:ind w:left="1446" w:hanging="1446"/>
    </w:pPr>
  </w:style>
  <w:style w:type="paragraph" w:styleId="20">
    <w:name w:val="Body Text Indent 2"/>
    <w:basedOn w:val="a"/>
    <w:link w:val="21"/>
    <w:semiHidden/>
    <w:rsid w:val="005211CC"/>
    <w:pPr>
      <w:spacing w:line="240" w:lineRule="exact"/>
      <w:ind w:left="1446"/>
    </w:pPr>
    <w:rPr>
      <w:rFonts w:ascii="Times New Roman" w:eastAsia="新細明體" w:hAnsi="Times New Roman" w:cs="Times New Roman"/>
      <w:szCs w:val="20"/>
    </w:rPr>
  </w:style>
  <w:style w:type="character" w:customStyle="1" w:styleId="21">
    <w:name w:val="本文縮排 2 字元"/>
    <w:basedOn w:val="a0"/>
    <w:link w:val="20"/>
    <w:semiHidden/>
    <w:rsid w:val="005211CC"/>
    <w:rPr>
      <w:rFonts w:ascii="Times New Roman" w:eastAsia="新細明體" w:hAnsi="Times New Roman" w:cs="Times New Roman"/>
      <w:szCs w:val="20"/>
    </w:rPr>
  </w:style>
  <w:style w:type="paragraph" w:styleId="3">
    <w:name w:val="Body Text Indent 3"/>
    <w:basedOn w:val="a"/>
    <w:link w:val="30"/>
    <w:uiPriority w:val="99"/>
    <w:semiHidden/>
    <w:unhideWhenUsed/>
    <w:rsid w:val="00324B61"/>
    <w:pPr>
      <w:spacing w:after="120"/>
      <w:ind w:leftChars="200" w:left="480"/>
    </w:pPr>
    <w:rPr>
      <w:sz w:val="16"/>
      <w:szCs w:val="16"/>
    </w:rPr>
  </w:style>
  <w:style w:type="character" w:customStyle="1" w:styleId="30">
    <w:name w:val="本文縮排 3 字元"/>
    <w:basedOn w:val="a0"/>
    <w:link w:val="3"/>
    <w:uiPriority w:val="99"/>
    <w:semiHidden/>
    <w:rsid w:val="00324B61"/>
    <w:rPr>
      <w:sz w:val="16"/>
      <w:szCs w:val="16"/>
    </w:rPr>
  </w:style>
  <w:style w:type="paragraph" w:styleId="a8">
    <w:name w:val="header"/>
    <w:basedOn w:val="a"/>
    <w:link w:val="a9"/>
    <w:uiPriority w:val="99"/>
    <w:unhideWhenUsed/>
    <w:rsid w:val="009F5227"/>
    <w:pPr>
      <w:tabs>
        <w:tab w:val="center" w:pos="4153"/>
        <w:tab w:val="right" w:pos="8306"/>
      </w:tabs>
      <w:snapToGrid w:val="0"/>
    </w:pPr>
    <w:rPr>
      <w:sz w:val="20"/>
      <w:szCs w:val="20"/>
    </w:rPr>
  </w:style>
  <w:style w:type="character" w:customStyle="1" w:styleId="a9">
    <w:name w:val="頁首 字元"/>
    <w:basedOn w:val="a0"/>
    <w:link w:val="a8"/>
    <w:uiPriority w:val="99"/>
    <w:rsid w:val="009F5227"/>
    <w:rPr>
      <w:sz w:val="20"/>
      <w:szCs w:val="20"/>
    </w:rPr>
  </w:style>
  <w:style w:type="paragraph" w:styleId="aa">
    <w:name w:val="footer"/>
    <w:basedOn w:val="a"/>
    <w:link w:val="ab"/>
    <w:uiPriority w:val="99"/>
    <w:unhideWhenUsed/>
    <w:rsid w:val="009F5227"/>
    <w:pPr>
      <w:tabs>
        <w:tab w:val="center" w:pos="4153"/>
        <w:tab w:val="right" w:pos="8306"/>
      </w:tabs>
      <w:snapToGrid w:val="0"/>
    </w:pPr>
    <w:rPr>
      <w:sz w:val="20"/>
      <w:szCs w:val="20"/>
    </w:rPr>
  </w:style>
  <w:style w:type="character" w:customStyle="1" w:styleId="ab">
    <w:name w:val="頁尾 字元"/>
    <w:basedOn w:val="a0"/>
    <w:link w:val="aa"/>
    <w:uiPriority w:val="99"/>
    <w:rsid w:val="009F52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33C36-D6B0-479B-9FA7-4B020591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鍾韻琳</dc:creator>
  <cp:keywords/>
  <dc:description/>
  <cp:lastModifiedBy>鍾韻琳</cp:lastModifiedBy>
  <cp:revision>4</cp:revision>
  <cp:lastPrinted>2023-05-02T01:53:00Z</cp:lastPrinted>
  <dcterms:created xsi:type="dcterms:W3CDTF">2023-06-29T14:24:00Z</dcterms:created>
  <dcterms:modified xsi:type="dcterms:W3CDTF">2023-06-30T00:57:00Z</dcterms:modified>
</cp:coreProperties>
</file>